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9A03" w14:textId="62CDA048" w:rsidR="00E35E5E" w:rsidRDefault="003A2921" w:rsidP="00491BF3">
      <w:pPr>
        <w:ind w:left="993" w:right="1411"/>
        <w:jc w:val="center"/>
        <w:rPr>
          <w:b/>
          <w:u w:val="single"/>
        </w:rPr>
      </w:pPr>
      <w:r>
        <w:rPr>
          <w:b/>
          <w:u w:val="single"/>
        </w:rPr>
        <w:t>Mode d’emploi de la procédure d’</w:t>
      </w:r>
      <w:r w:rsidR="00491BF3">
        <w:rPr>
          <w:b/>
          <w:u w:val="single"/>
        </w:rPr>
        <w:t>accès simplifié</w:t>
      </w:r>
      <w:r>
        <w:rPr>
          <w:b/>
          <w:u w:val="single"/>
        </w:rPr>
        <w:t xml:space="preserve"> aux données agrégées </w:t>
      </w:r>
      <w:r w:rsidR="00491BF3">
        <w:rPr>
          <w:b/>
          <w:u w:val="single"/>
        </w:rPr>
        <w:t>et à l’EGB du SNIIRAM</w:t>
      </w:r>
    </w:p>
    <w:p w14:paraId="2BC9679E" w14:textId="77777777" w:rsidR="00974AE4" w:rsidRDefault="00974AE4" w:rsidP="00491BF3">
      <w:pPr>
        <w:ind w:left="993" w:right="1411"/>
        <w:jc w:val="center"/>
        <w:rPr>
          <w:b/>
          <w:u w:val="single"/>
        </w:rPr>
      </w:pPr>
    </w:p>
    <w:p w14:paraId="62161141" w14:textId="26D1BDE9" w:rsidR="00E37CFE" w:rsidRPr="00E37CFE" w:rsidRDefault="00E37CFE" w:rsidP="00E37CFE">
      <w:pPr>
        <w:pStyle w:val="Titre1"/>
        <w:rPr>
          <w:sz w:val="24"/>
          <w:szCs w:val="24"/>
          <w:u w:val="single"/>
        </w:rPr>
      </w:pPr>
      <w:bookmarkStart w:id="0" w:name="_Toc49433212"/>
      <w:r w:rsidRPr="00E37CFE">
        <w:rPr>
          <w:sz w:val="24"/>
          <w:szCs w:val="24"/>
          <w:u w:val="single"/>
        </w:rPr>
        <w:t>Contexte :</w:t>
      </w:r>
      <w:bookmarkEnd w:id="0"/>
    </w:p>
    <w:p w14:paraId="3B16AFEF" w14:textId="77777777" w:rsidR="00E37CFE" w:rsidRDefault="00E37CFE" w:rsidP="0062193F">
      <w:pPr>
        <w:jc w:val="both"/>
        <w:rPr>
          <w:rFonts w:ascii="Times New Roman" w:hAnsi="Times New Roman" w:cs="Times New Roman"/>
          <w:i/>
        </w:rPr>
      </w:pPr>
    </w:p>
    <w:p w14:paraId="6421D156" w14:textId="4BCF8A27" w:rsidR="0062193F" w:rsidRDefault="00D63E60" w:rsidP="0062193F">
      <w:pPr>
        <w:jc w:val="both"/>
        <w:rPr>
          <w:rFonts w:ascii="Times New Roman" w:hAnsi="Times New Roman" w:cs="Times New Roman"/>
          <w:i/>
        </w:rPr>
      </w:pPr>
      <w:r>
        <w:rPr>
          <w:rFonts w:ascii="Times New Roman" w:hAnsi="Times New Roman" w:cs="Times New Roman"/>
          <w:i/>
        </w:rPr>
        <w:t>La loi de modernisation de notre système de santé du 26 janvier 2016</w:t>
      </w:r>
      <w:r w:rsidR="0062193F">
        <w:rPr>
          <w:rFonts w:ascii="Times New Roman" w:hAnsi="Times New Roman" w:cs="Times New Roman"/>
          <w:i/>
        </w:rPr>
        <w:t xml:space="preserve"> a entendu simplifier </w:t>
      </w:r>
      <w:r w:rsidR="0062193F" w:rsidRPr="0062193F">
        <w:rPr>
          <w:rFonts w:ascii="Times New Roman" w:hAnsi="Times New Roman" w:cs="Times New Roman"/>
          <w:i/>
        </w:rPr>
        <w:t xml:space="preserve">l’accès </w:t>
      </w:r>
      <w:r w:rsidR="009D7A45">
        <w:rPr>
          <w:rFonts w:ascii="Times New Roman" w:hAnsi="Times New Roman" w:cs="Times New Roman"/>
          <w:i/>
        </w:rPr>
        <w:t>aux</w:t>
      </w:r>
      <w:r w:rsidR="0062193F" w:rsidRPr="0062193F">
        <w:rPr>
          <w:rFonts w:ascii="Times New Roman" w:hAnsi="Times New Roman" w:cs="Times New Roman"/>
          <w:i/>
        </w:rPr>
        <w:t xml:space="preserve"> jeux de données agrégées ou </w:t>
      </w:r>
      <w:r w:rsidR="009D7A45">
        <w:rPr>
          <w:rFonts w:ascii="Times New Roman" w:hAnsi="Times New Roman" w:cs="Times New Roman"/>
          <w:i/>
        </w:rPr>
        <w:t>aux</w:t>
      </w:r>
      <w:r w:rsidR="0062193F" w:rsidRPr="0062193F">
        <w:rPr>
          <w:rFonts w:ascii="Times New Roman" w:hAnsi="Times New Roman" w:cs="Times New Roman"/>
          <w:i/>
        </w:rPr>
        <w:t xml:space="preserve"> échantillons</w:t>
      </w:r>
      <w:r w:rsidR="0062193F">
        <w:rPr>
          <w:rFonts w:ascii="Times New Roman" w:hAnsi="Times New Roman" w:cs="Times New Roman"/>
          <w:i/>
        </w:rPr>
        <w:t xml:space="preserve"> en permettant à la CNIL d’homologuer des conditions particulières de mise à disposition de ces données</w:t>
      </w:r>
      <w:r w:rsidR="0062193F" w:rsidRPr="0062193F">
        <w:rPr>
          <w:rFonts w:ascii="Times New Roman" w:hAnsi="Times New Roman" w:cs="Times New Roman"/>
          <w:i/>
        </w:rPr>
        <w:t>.</w:t>
      </w:r>
      <w:r w:rsidR="00696569">
        <w:rPr>
          <w:rFonts w:ascii="Times New Roman" w:hAnsi="Times New Roman" w:cs="Times New Roman"/>
          <w:i/>
        </w:rPr>
        <w:t xml:space="preserve"> L’idée sous-jacente est q</w:t>
      </w:r>
      <w:r w:rsidR="007235D2">
        <w:rPr>
          <w:rFonts w:ascii="Times New Roman" w:hAnsi="Times New Roman" w:cs="Times New Roman"/>
          <w:i/>
        </w:rPr>
        <w:t>ue ces types de données présenta</w:t>
      </w:r>
      <w:r w:rsidR="00696569">
        <w:rPr>
          <w:rFonts w:ascii="Times New Roman" w:hAnsi="Times New Roman" w:cs="Times New Roman"/>
          <w:i/>
        </w:rPr>
        <w:t xml:space="preserve">nt un risque potentiel de </w:t>
      </w:r>
      <w:r w:rsidR="007235D2">
        <w:rPr>
          <w:rFonts w:ascii="Times New Roman" w:hAnsi="Times New Roman" w:cs="Times New Roman"/>
          <w:i/>
        </w:rPr>
        <w:t>ré-identification plus faible, ils</w:t>
      </w:r>
      <w:r w:rsidR="00696569">
        <w:rPr>
          <w:rFonts w:ascii="Times New Roman" w:hAnsi="Times New Roman" w:cs="Times New Roman"/>
          <w:i/>
        </w:rPr>
        <w:t xml:space="preserve"> peuvent faire l’objet de mise à disposition selon des procédures d’accès plus souples</w:t>
      </w:r>
      <w:r w:rsidR="007235D2">
        <w:rPr>
          <w:rFonts w:ascii="Times New Roman" w:hAnsi="Times New Roman" w:cs="Times New Roman"/>
          <w:i/>
        </w:rPr>
        <w:t>.</w:t>
      </w:r>
    </w:p>
    <w:p w14:paraId="5E67033D" w14:textId="77777777" w:rsidR="00287702" w:rsidRDefault="00287702" w:rsidP="0062193F">
      <w:pPr>
        <w:jc w:val="both"/>
        <w:rPr>
          <w:rFonts w:ascii="Times New Roman" w:hAnsi="Times New Roman" w:cs="Times New Roman"/>
          <w:i/>
        </w:rPr>
      </w:pPr>
    </w:p>
    <w:p w14:paraId="4A3E36C2" w14:textId="0C83C77E" w:rsidR="009D7A45" w:rsidRDefault="002C368C" w:rsidP="0062193F">
      <w:pPr>
        <w:jc w:val="both"/>
        <w:rPr>
          <w:rFonts w:ascii="Times New Roman" w:hAnsi="Times New Roman" w:cs="Times New Roman"/>
          <w:i/>
        </w:rPr>
      </w:pPr>
      <w:r>
        <w:rPr>
          <w:rFonts w:ascii="Times New Roman" w:hAnsi="Times New Roman" w:cs="Times New Roman"/>
          <w:i/>
        </w:rPr>
        <w:t xml:space="preserve">Le législateur a souhaité faire de </w:t>
      </w:r>
      <w:r w:rsidR="00EE2CF1">
        <w:rPr>
          <w:rFonts w:ascii="Times New Roman" w:hAnsi="Times New Roman" w:cs="Times New Roman"/>
          <w:i/>
        </w:rPr>
        <w:t>la Plateforme des données de santé (le Health Data Hub)</w:t>
      </w:r>
      <w:r>
        <w:rPr>
          <w:rFonts w:ascii="Times New Roman" w:hAnsi="Times New Roman" w:cs="Times New Roman"/>
          <w:i/>
        </w:rPr>
        <w:t xml:space="preserve"> </w:t>
      </w:r>
      <w:r w:rsidR="007235D2">
        <w:rPr>
          <w:rFonts w:ascii="Times New Roman" w:hAnsi="Times New Roman" w:cs="Times New Roman"/>
          <w:i/>
        </w:rPr>
        <w:t xml:space="preserve">un des acteurs centraux </w:t>
      </w:r>
      <w:r w:rsidR="007235D2" w:rsidRPr="007235D2">
        <w:rPr>
          <w:rFonts w:ascii="Times New Roman" w:hAnsi="Times New Roman" w:cs="Times New Roman"/>
          <w:i/>
        </w:rPr>
        <w:t>pour proposer des procédures d’accès simplifiées pour les traitements les plus usuels et faciliter la mise à disposition de données agrégées, dans des conditions préalablement homologuées par la CNIL.</w:t>
      </w:r>
      <w:r w:rsidR="007235D2">
        <w:rPr>
          <w:rFonts w:ascii="Times New Roman" w:hAnsi="Times New Roman" w:cs="Times New Roman"/>
          <w:i/>
        </w:rPr>
        <w:t xml:space="preserve"> Compte</w:t>
      </w:r>
      <w:r w:rsidR="0027393D">
        <w:rPr>
          <w:rFonts w:ascii="Times New Roman" w:hAnsi="Times New Roman" w:cs="Times New Roman"/>
          <w:i/>
        </w:rPr>
        <w:t xml:space="preserve"> tenu</w:t>
      </w:r>
      <w:r w:rsidR="007235D2">
        <w:rPr>
          <w:rFonts w:ascii="Times New Roman" w:hAnsi="Times New Roman" w:cs="Times New Roman"/>
          <w:i/>
        </w:rPr>
        <w:t xml:space="preserve"> de la demande pressante d’acteurs pour bénéficier d’une telle procédure pour un accès aux données agrégées et à l’</w:t>
      </w:r>
      <w:r w:rsidR="002B51F0" w:rsidRPr="002B51F0">
        <w:rPr>
          <w:rFonts w:ascii="Times New Roman" w:hAnsi="Times New Roman" w:cs="Times New Roman"/>
          <w:i/>
        </w:rPr>
        <w:t>Échantillon Généraliste de Bénéficiaires</w:t>
      </w:r>
      <w:r w:rsidR="002B51F0">
        <w:rPr>
          <w:rFonts w:ascii="Times New Roman" w:hAnsi="Times New Roman" w:cs="Times New Roman"/>
          <w:i/>
        </w:rPr>
        <w:t xml:space="preserve"> (</w:t>
      </w:r>
      <w:r w:rsidR="00486A40" w:rsidRPr="00486A40">
        <w:rPr>
          <w:rFonts w:ascii="Times New Roman" w:hAnsi="Times New Roman" w:cs="Times New Roman"/>
          <w:i/>
        </w:rPr>
        <w:t>EGB</w:t>
      </w:r>
      <w:r w:rsidR="002B51F0">
        <w:rPr>
          <w:rFonts w:ascii="Times New Roman" w:hAnsi="Times New Roman" w:cs="Times New Roman"/>
          <w:i/>
        </w:rPr>
        <w:t>)</w:t>
      </w:r>
      <w:r w:rsidR="007235D2">
        <w:rPr>
          <w:rFonts w:ascii="Times New Roman" w:hAnsi="Times New Roman" w:cs="Times New Roman"/>
          <w:i/>
        </w:rPr>
        <w:t xml:space="preserve"> du SNIIRAM, une procédure</w:t>
      </w:r>
      <w:r w:rsidR="00EE2CF1">
        <w:rPr>
          <w:rFonts w:ascii="Times New Roman" w:hAnsi="Times New Roman" w:cs="Times New Roman"/>
          <w:i/>
        </w:rPr>
        <w:t xml:space="preserve"> </w:t>
      </w:r>
      <w:r w:rsidR="007235D2">
        <w:rPr>
          <w:rFonts w:ascii="Times New Roman" w:hAnsi="Times New Roman" w:cs="Times New Roman"/>
          <w:i/>
        </w:rPr>
        <w:t xml:space="preserve">d’accès </w:t>
      </w:r>
      <w:r w:rsidR="00EE2CF1">
        <w:rPr>
          <w:rFonts w:ascii="Times New Roman" w:hAnsi="Times New Roman" w:cs="Times New Roman"/>
          <w:i/>
        </w:rPr>
        <w:t xml:space="preserve">simplifié </w:t>
      </w:r>
      <w:r w:rsidR="007235D2">
        <w:rPr>
          <w:rFonts w:ascii="Times New Roman" w:hAnsi="Times New Roman" w:cs="Times New Roman"/>
          <w:i/>
        </w:rPr>
        <w:t xml:space="preserve">a été </w:t>
      </w:r>
      <w:r w:rsidR="007D2BB7">
        <w:rPr>
          <w:rFonts w:ascii="Times New Roman" w:hAnsi="Times New Roman" w:cs="Times New Roman"/>
          <w:i/>
        </w:rPr>
        <w:t>proposée</w:t>
      </w:r>
      <w:r w:rsidR="007235D2">
        <w:rPr>
          <w:rFonts w:ascii="Times New Roman" w:hAnsi="Times New Roman" w:cs="Times New Roman"/>
          <w:i/>
        </w:rPr>
        <w:t xml:space="preserve"> à la CNIL.</w:t>
      </w:r>
    </w:p>
    <w:p w14:paraId="30F41E97" w14:textId="77777777" w:rsidR="00287702" w:rsidRDefault="00287702" w:rsidP="0062193F">
      <w:pPr>
        <w:jc w:val="both"/>
        <w:rPr>
          <w:rFonts w:ascii="Times New Roman" w:hAnsi="Times New Roman" w:cs="Times New Roman"/>
          <w:i/>
        </w:rPr>
      </w:pPr>
    </w:p>
    <w:p w14:paraId="4B3F061D" w14:textId="6367C71F" w:rsidR="00486A40" w:rsidRPr="00EE2CF1" w:rsidRDefault="00536062" w:rsidP="00EE2CF1">
      <w:pPr>
        <w:jc w:val="both"/>
        <w:rPr>
          <w:rFonts w:ascii="Times New Roman" w:eastAsia="Times New Roman" w:hAnsi="Times New Roman" w:cs="Times New Roman"/>
          <w:i/>
          <w:lang w:eastAsia="fr-FR"/>
        </w:rPr>
      </w:pPr>
      <w:r w:rsidRPr="00EE2CF1">
        <w:rPr>
          <w:rFonts w:ascii="Times New Roman" w:hAnsi="Times New Roman" w:cs="Times New Roman"/>
          <w:i/>
        </w:rPr>
        <w:t xml:space="preserve">Par </w:t>
      </w:r>
      <w:r w:rsidR="009D7A45" w:rsidRPr="00EE2CF1">
        <w:rPr>
          <w:rFonts w:ascii="Times New Roman" w:hAnsi="Times New Roman" w:cs="Times New Roman"/>
          <w:i/>
        </w:rPr>
        <w:t xml:space="preserve">sa délibération </w:t>
      </w:r>
      <w:r w:rsidR="00EE2CF1" w:rsidRPr="00EE2CF1">
        <w:rPr>
          <w:rFonts w:ascii="Times New Roman" w:eastAsia="Times New Roman" w:hAnsi="Times New Roman" w:cs="Times New Roman"/>
          <w:i/>
          <w:color w:val="1D1C1D"/>
          <w:shd w:val="clear" w:color="auto" w:fill="F8F8F8"/>
          <w:lang w:eastAsia="fr-FR"/>
        </w:rPr>
        <w:t>n°2020-072 du 16 juillet 2020</w:t>
      </w:r>
      <w:r w:rsidR="009D7A45" w:rsidRPr="00EE2CF1">
        <w:rPr>
          <w:rFonts w:ascii="Times New Roman" w:hAnsi="Times New Roman" w:cs="Times New Roman"/>
          <w:i/>
        </w:rPr>
        <w:t xml:space="preserve">, </w:t>
      </w:r>
      <w:r w:rsidRPr="00EE2CF1">
        <w:rPr>
          <w:rFonts w:ascii="Times New Roman" w:hAnsi="Times New Roman" w:cs="Times New Roman"/>
          <w:i/>
        </w:rPr>
        <w:t xml:space="preserve">la </w:t>
      </w:r>
      <w:r w:rsidR="007235D2" w:rsidRPr="00EE2CF1">
        <w:rPr>
          <w:rFonts w:ascii="Times New Roman" w:hAnsi="Times New Roman" w:cs="Times New Roman"/>
          <w:i/>
        </w:rPr>
        <w:t xml:space="preserve">Commission </w:t>
      </w:r>
      <w:r w:rsidRPr="00EE2CF1">
        <w:rPr>
          <w:rFonts w:ascii="Times New Roman" w:hAnsi="Times New Roman" w:cs="Times New Roman"/>
          <w:i/>
        </w:rPr>
        <w:t xml:space="preserve">a homologué </w:t>
      </w:r>
      <w:r w:rsidR="0027393D" w:rsidRPr="00EE2CF1">
        <w:rPr>
          <w:rFonts w:ascii="Times New Roman" w:hAnsi="Times New Roman" w:cs="Times New Roman"/>
          <w:i/>
        </w:rPr>
        <w:t>cette procédure</w:t>
      </w:r>
      <w:r w:rsidR="007235D2" w:rsidRPr="00EE2CF1">
        <w:rPr>
          <w:rFonts w:ascii="Times New Roman" w:hAnsi="Times New Roman" w:cs="Times New Roman"/>
          <w:i/>
        </w:rPr>
        <w:t>. Elle donne compétence à</w:t>
      </w:r>
      <w:r w:rsidRPr="00EE2CF1">
        <w:rPr>
          <w:rFonts w:ascii="Times New Roman" w:hAnsi="Times New Roman" w:cs="Times New Roman"/>
          <w:i/>
        </w:rPr>
        <w:t xml:space="preserve"> </w:t>
      </w:r>
      <w:r w:rsidR="00EE2CF1">
        <w:rPr>
          <w:rFonts w:ascii="Times New Roman" w:hAnsi="Times New Roman" w:cs="Times New Roman"/>
          <w:i/>
        </w:rPr>
        <w:t xml:space="preserve">la </w:t>
      </w:r>
      <w:r w:rsidR="00EE2CF1">
        <w:rPr>
          <w:rFonts w:ascii="Times New Roman" w:hAnsi="Times New Roman" w:cs="Times New Roman"/>
          <w:i/>
        </w:rPr>
        <w:t xml:space="preserve">Plateforme des données de santé (le Health Data Hub) </w:t>
      </w:r>
      <w:r w:rsidR="00AE05B6" w:rsidRPr="00EE2CF1">
        <w:rPr>
          <w:rFonts w:ascii="Times New Roman" w:hAnsi="Times New Roman" w:cs="Times New Roman"/>
          <w:i/>
        </w:rPr>
        <w:t>p</w:t>
      </w:r>
      <w:r w:rsidR="0027393D" w:rsidRPr="00EE2CF1">
        <w:rPr>
          <w:rFonts w:ascii="Times New Roman" w:hAnsi="Times New Roman" w:cs="Times New Roman"/>
          <w:i/>
        </w:rPr>
        <w:t>our</w:t>
      </w:r>
      <w:r w:rsidR="00AE05B6" w:rsidRPr="00EE2CF1">
        <w:rPr>
          <w:rFonts w:ascii="Times New Roman" w:hAnsi="Times New Roman" w:cs="Times New Roman"/>
          <w:i/>
        </w:rPr>
        <w:t xml:space="preserve"> </w:t>
      </w:r>
      <w:r w:rsidRPr="00EE2CF1">
        <w:rPr>
          <w:rFonts w:ascii="Times New Roman" w:hAnsi="Times New Roman" w:cs="Times New Roman"/>
          <w:i/>
        </w:rPr>
        <w:t>approuver l’accès à ces données</w:t>
      </w:r>
      <w:r w:rsidR="007235D2" w:rsidRPr="00EE2CF1">
        <w:rPr>
          <w:rFonts w:ascii="Times New Roman" w:hAnsi="Times New Roman" w:cs="Times New Roman"/>
          <w:i/>
        </w:rPr>
        <w:t xml:space="preserve"> sous certaines conditions.</w:t>
      </w:r>
      <w:r w:rsidR="00491BF3" w:rsidRPr="00EE2CF1">
        <w:rPr>
          <w:rFonts w:ascii="Times New Roman" w:hAnsi="Times New Roman" w:cs="Times New Roman"/>
          <w:i/>
        </w:rPr>
        <w:t xml:space="preserve"> </w:t>
      </w:r>
      <w:r w:rsidR="00E37CFE" w:rsidRPr="00EE2CF1">
        <w:rPr>
          <w:rFonts w:ascii="Times New Roman" w:hAnsi="Times New Roman" w:cs="Times New Roman"/>
          <w:b/>
          <w:i/>
        </w:rPr>
        <w:t>La présente note vise</w:t>
      </w:r>
      <w:r w:rsidR="00491BF3" w:rsidRPr="00EE2CF1">
        <w:rPr>
          <w:rFonts w:ascii="Times New Roman" w:hAnsi="Times New Roman" w:cs="Times New Roman"/>
          <w:b/>
          <w:i/>
        </w:rPr>
        <w:t xml:space="preserve"> à guider les demandeurs dans leur démarche de demand</w:t>
      </w:r>
      <w:r w:rsidR="00E37CFE" w:rsidRPr="00EE2CF1">
        <w:rPr>
          <w:rFonts w:ascii="Times New Roman" w:hAnsi="Times New Roman" w:cs="Times New Roman"/>
          <w:b/>
          <w:i/>
        </w:rPr>
        <w:t xml:space="preserve">e d’accès simplifié auprès de </w:t>
      </w:r>
      <w:r w:rsidR="00EE2CF1">
        <w:rPr>
          <w:rFonts w:ascii="Times New Roman" w:hAnsi="Times New Roman" w:cs="Times New Roman"/>
          <w:b/>
          <w:i/>
        </w:rPr>
        <w:t>la Plateforme des données de santé (le Health Data Hub)</w:t>
      </w:r>
      <w:r w:rsidR="00E37CFE" w:rsidRPr="00EE2CF1">
        <w:rPr>
          <w:rFonts w:ascii="Times New Roman" w:hAnsi="Times New Roman" w:cs="Times New Roman"/>
          <w:b/>
          <w:i/>
        </w:rPr>
        <w:t>.</w:t>
      </w:r>
    </w:p>
    <w:p w14:paraId="78A64471" w14:textId="77777777" w:rsidR="00E37CFE" w:rsidRPr="00E37CFE" w:rsidRDefault="00E37CFE" w:rsidP="0062193F">
      <w:pPr>
        <w:jc w:val="both"/>
        <w:rPr>
          <w:rFonts w:ascii="Times New Roman" w:hAnsi="Times New Roman" w:cs="Times New Roman"/>
          <w:b/>
          <w:i/>
        </w:rPr>
      </w:pPr>
    </w:p>
    <w:p w14:paraId="4D40B75E" w14:textId="27FEE50F" w:rsidR="00491BF3" w:rsidRPr="00E37CFE" w:rsidRDefault="00E37CFE" w:rsidP="00E37CFE">
      <w:pPr>
        <w:jc w:val="center"/>
        <w:rPr>
          <w:rFonts w:ascii="Times New Roman" w:hAnsi="Times New Roman" w:cs="Times New Roman"/>
          <w:i/>
          <w:color w:val="4472C4" w:themeColor="accent1"/>
        </w:rPr>
      </w:pPr>
      <w:r w:rsidRPr="00E37CFE">
        <w:rPr>
          <w:rFonts w:ascii="Times New Roman" w:hAnsi="Times New Roman" w:cs="Times New Roman"/>
          <w:i/>
          <w:color w:val="4472C4" w:themeColor="accent1"/>
        </w:rPr>
        <w:t>******</w:t>
      </w:r>
    </w:p>
    <w:sdt>
      <w:sdtPr>
        <w:rPr>
          <w:b w:val="0"/>
          <w:bCs w:val="0"/>
          <w:i w:val="0"/>
          <w:iCs w:val="0"/>
          <w:sz w:val="22"/>
          <w:szCs w:val="22"/>
        </w:rPr>
        <w:id w:val="912597155"/>
        <w:docPartObj>
          <w:docPartGallery w:val="Table of Contents"/>
          <w:docPartUnique/>
        </w:docPartObj>
      </w:sdtPr>
      <w:sdtEndPr>
        <w:rPr>
          <w:b/>
          <w:noProof/>
        </w:rPr>
      </w:sdtEndPr>
      <w:sdtContent>
        <w:p w14:paraId="49CB369E" w14:textId="181E0876" w:rsidR="00290430" w:rsidRDefault="00491BF3">
          <w:pPr>
            <w:pStyle w:val="TM1"/>
            <w:tabs>
              <w:tab w:val="right" w:leader="dot" w:pos="9056"/>
            </w:tabs>
            <w:rPr>
              <w:rFonts w:eastAsiaTheme="minorEastAsia"/>
              <w:b w:val="0"/>
              <w:bCs w:val="0"/>
              <w:i w:val="0"/>
              <w:iCs w:val="0"/>
              <w:noProof/>
              <w:lang w:eastAsia="fr-FR"/>
            </w:rPr>
          </w:pPr>
          <w:r w:rsidRPr="00E37CFE">
            <w:rPr>
              <w:b w:val="0"/>
              <w:bCs w:val="0"/>
              <w:sz w:val="22"/>
              <w:szCs w:val="22"/>
            </w:rPr>
            <w:fldChar w:fldCharType="begin"/>
          </w:r>
          <w:r w:rsidRPr="00E37CFE">
            <w:rPr>
              <w:b w:val="0"/>
              <w:sz w:val="22"/>
              <w:szCs w:val="22"/>
            </w:rPr>
            <w:instrText>TOC \o "1-3" \h \z \u</w:instrText>
          </w:r>
          <w:r w:rsidRPr="00E37CFE">
            <w:rPr>
              <w:b w:val="0"/>
              <w:bCs w:val="0"/>
              <w:sz w:val="22"/>
              <w:szCs w:val="22"/>
            </w:rPr>
            <w:fldChar w:fldCharType="separate"/>
          </w:r>
          <w:hyperlink w:anchor="_Toc49433212" w:history="1">
            <w:r w:rsidR="00290430" w:rsidRPr="00723C4A">
              <w:rPr>
                <w:rStyle w:val="Lienhypertexte"/>
                <w:noProof/>
              </w:rPr>
              <w:t>Contexte :</w:t>
            </w:r>
            <w:r w:rsidR="00290430">
              <w:rPr>
                <w:noProof/>
                <w:webHidden/>
              </w:rPr>
              <w:tab/>
            </w:r>
            <w:r w:rsidR="00290430">
              <w:rPr>
                <w:noProof/>
                <w:webHidden/>
              </w:rPr>
              <w:fldChar w:fldCharType="begin"/>
            </w:r>
            <w:r w:rsidR="00290430">
              <w:rPr>
                <w:noProof/>
                <w:webHidden/>
              </w:rPr>
              <w:instrText xml:space="preserve"> PAGEREF _Toc49433212 \h </w:instrText>
            </w:r>
            <w:r w:rsidR="00290430">
              <w:rPr>
                <w:noProof/>
                <w:webHidden/>
              </w:rPr>
            </w:r>
            <w:r w:rsidR="00290430">
              <w:rPr>
                <w:noProof/>
                <w:webHidden/>
              </w:rPr>
              <w:fldChar w:fldCharType="separate"/>
            </w:r>
            <w:r w:rsidR="00290430">
              <w:rPr>
                <w:noProof/>
                <w:webHidden/>
              </w:rPr>
              <w:t>1</w:t>
            </w:r>
            <w:r w:rsidR="00290430">
              <w:rPr>
                <w:noProof/>
                <w:webHidden/>
              </w:rPr>
              <w:fldChar w:fldCharType="end"/>
            </w:r>
          </w:hyperlink>
        </w:p>
        <w:p w14:paraId="13FB2ED5" w14:textId="45DC2C75" w:rsidR="00290430" w:rsidRDefault="00290430">
          <w:pPr>
            <w:pStyle w:val="TM1"/>
            <w:tabs>
              <w:tab w:val="left" w:pos="480"/>
              <w:tab w:val="right" w:leader="dot" w:pos="9056"/>
            </w:tabs>
            <w:rPr>
              <w:rFonts w:eastAsiaTheme="minorEastAsia"/>
              <w:b w:val="0"/>
              <w:bCs w:val="0"/>
              <w:i w:val="0"/>
              <w:iCs w:val="0"/>
              <w:noProof/>
              <w:lang w:eastAsia="fr-FR"/>
            </w:rPr>
          </w:pPr>
          <w:hyperlink w:anchor="_Toc49433213" w:history="1">
            <w:r w:rsidRPr="00723C4A">
              <w:rPr>
                <w:rStyle w:val="Lienhypertexte"/>
                <w:noProof/>
              </w:rPr>
              <w:t>1.</w:t>
            </w:r>
            <w:r>
              <w:rPr>
                <w:rFonts w:eastAsiaTheme="minorEastAsia"/>
                <w:b w:val="0"/>
                <w:bCs w:val="0"/>
                <w:i w:val="0"/>
                <w:iCs w:val="0"/>
                <w:noProof/>
                <w:lang w:eastAsia="fr-FR"/>
              </w:rPr>
              <w:tab/>
            </w:r>
            <w:r w:rsidRPr="00723C4A">
              <w:rPr>
                <w:rStyle w:val="Lienhypertexte"/>
                <w:noProof/>
              </w:rPr>
              <w:t>Quelles données sont concernées par la procédure simplifiée ?</w:t>
            </w:r>
            <w:r>
              <w:rPr>
                <w:noProof/>
                <w:webHidden/>
              </w:rPr>
              <w:tab/>
            </w:r>
            <w:r>
              <w:rPr>
                <w:noProof/>
                <w:webHidden/>
              </w:rPr>
              <w:fldChar w:fldCharType="begin"/>
            </w:r>
            <w:r>
              <w:rPr>
                <w:noProof/>
                <w:webHidden/>
              </w:rPr>
              <w:instrText xml:space="preserve"> PAGEREF _Toc49433213 \h </w:instrText>
            </w:r>
            <w:r>
              <w:rPr>
                <w:noProof/>
                <w:webHidden/>
              </w:rPr>
            </w:r>
            <w:r>
              <w:rPr>
                <w:noProof/>
                <w:webHidden/>
              </w:rPr>
              <w:fldChar w:fldCharType="separate"/>
            </w:r>
            <w:r>
              <w:rPr>
                <w:noProof/>
                <w:webHidden/>
              </w:rPr>
              <w:t>2</w:t>
            </w:r>
            <w:r>
              <w:rPr>
                <w:noProof/>
                <w:webHidden/>
              </w:rPr>
              <w:fldChar w:fldCharType="end"/>
            </w:r>
          </w:hyperlink>
        </w:p>
        <w:p w14:paraId="26405648" w14:textId="4F460A8E" w:rsidR="00290430" w:rsidRDefault="00290430">
          <w:pPr>
            <w:pStyle w:val="TM1"/>
            <w:tabs>
              <w:tab w:val="left" w:pos="480"/>
              <w:tab w:val="right" w:leader="dot" w:pos="9056"/>
            </w:tabs>
            <w:rPr>
              <w:rFonts w:eastAsiaTheme="minorEastAsia"/>
              <w:b w:val="0"/>
              <w:bCs w:val="0"/>
              <w:i w:val="0"/>
              <w:iCs w:val="0"/>
              <w:noProof/>
              <w:lang w:eastAsia="fr-FR"/>
            </w:rPr>
          </w:pPr>
          <w:hyperlink w:anchor="_Toc49433214" w:history="1">
            <w:r w:rsidRPr="00723C4A">
              <w:rPr>
                <w:rStyle w:val="Lienhypertexte"/>
                <w:noProof/>
              </w:rPr>
              <w:t>2.</w:t>
            </w:r>
            <w:r>
              <w:rPr>
                <w:rFonts w:eastAsiaTheme="minorEastAsia"/>
                <w:b w:val="0"/>
                <w:bCs w:val="0"/>
                <w:i w:val="0"/>
                <w:iCs w:val="0"/>
                <w:noProof/>
                <w:lang w:eastAsia="fr-FR"/>
              </w:rPr>
              <w:tab/>
            </w:r>
            <w:r w:rsidRPr="00723C4A">
              <w:rPr>
                <w:rStyle w:val="Lienhypertexte"/>
                <w:noProof/>
              </w:rPr>
              <w:t>Qui choisit la procédure d’accès ?</w:t>
            </w:r>
            <w:r>
              <w:rPr>
                <w:noProof/>
                <w:webHidden/>
              </w:rPr>
              <w:tab/>
            </w:r>
            <w:r>
              <w:rPr>
                <w:noProof/>
                <w:webHidden/>
              </w:rPr>
              <w:fldChar w:fldCharType="begin"/>
            </w:r>
            <w:r>
              <w:rPr>
                <w:noProof/>
                <w:webHidden/>
              </w:rPr>
              <w:instrText xml:space="preserve"> PAGEREF _Toc49433214 \h </w:instrText>
            </w:r>
            <w:r>
              <w:rPr>
                <w:noProof/>
                <w:webHidden/>
              </w:rPr>
            </w:r>
            <w:r>
              <w:rPr>
                <w:noProof/>
                <w:webHidden/>
              </w:rPr>
              <w:fldChar w:fldCharType="separate"/>
            </w:r>
            <w:r>
              <w:rPr>
                <w:noProof/>
                <w:webHidden/>
              </w:rPr>
              <w:t>2</w:t>
            </w:r>
            <w:r>
              <w:rPr>
                <w:noProof/>
                <w:webHidden/>
              </w:rPr>
              <w:fldChar w:fldCharType="end"/>
            </w:r>
          </w:hyperlink>
        </w:p>
        <w:p w14:paraId="0D3AC4C7" w14:textId="2A16EF52" w:rsidR="00290430" w:rsidRDefault="00290430">
          <w:pPr>
            <w:pStyle w:val="TM1"/>
            <w:tabs>
              <w:tab w:val="left" w:pos="480"/>
              <w:tab w:val="right" w:leader="dot" w:pos="9056"/>
            </w:tabs>
            <w:rPr>
              <w:rFonts w:eastAsiaTheme="minorEastAsia"/>
              <w:b w:val="0"/>
              <w:bCs w:val="0"/>
              <w:i w:val="0"/>
              <w:iCs w:val="0"/>
              <w:noProof/>
              <w:lang w:eastAsia="fr-FR"/>
            </w:rPr>
          </w:pPr>
          <w:hyperlink w:anchor="_Toc49433215" w:history="1">
            <w:r w:rsidRPr="00723C4A">
              <w:rPr>
                <w:rStyle w:val="Lienhypertexte"/>
                <w:noProof/>
              </w:rPr>
              <w:t>3.</w:t>
            </w:r>
            <w:r>
              <w:rPr>
                <w:rFonts w:eastAsiaTheme="minorEastAsia"/>
                <w:b w:val="0"/>
                <w:bCs w:val="0"/>
                <w:i w:val="0"/>
                <w:iCs w:val="0"/>
                <w:noProof/>
                <w:lang w:eastAsia="fr-FR"/>
              </w:rPr>
              <w:tab/>
            </w:r>
            <w:r w:rsidRPr="00723C4A">
              <w:rPr>
                <w:rStyle w:val="Lienhypertexte"/>
                <w:noProof/>
              </w:rPr>
              <w:t>Quels engagements le responsable de traitement doit prendre pour être éligible à la procédure simplifiée d’accès aux données de l’EGB ?</w:t>
            </w:r>
            <w:r>
              <w:rPr>
                <w:noProof/>
                <w:webHidden/>
              </w:rPr>
              <w:tab/>
            </w:r>
            <w:r>
              <w:rPr>
                <w:noProof/>
                <w:webHidden/>
              </w:rPr>
              <w:fldChar w:fldCharType="begin"/>
            </w:r>
            <w:r>
              <w:rPr>
                <w:noProof/>
                <w:webHidden/>
              </w:rPr>
              <w:instrText xml:space="preserve"> PAGEREF _Toc49433215 \h </w:instrText>
            </w:r>
            <w:r>
              <w:rPr>
                <w:noProof/>
                <w:webHidden/>
              </w:rPr>
            </w:r>
            <w:r>
              <w:rPr>
                <w:noProof/>
                <w:webHidden/>
              </w:rPr>
              <w:fldChar w:fldCharType="separate"/>
            </w:r>
            <w:r>
              <w:rPr>
                <w:noProof/>
                <w:webHidden/>
              </w:rPr>
              <w:t>2</w:t>
            </w:r>
            <w:r>
              <w:rPr>
                <w:noProof/>
                <w:webHidden/>
              </w:rPr>
              <w:fldChar w:fldCharType="end"/>
            </w:r>
          </w:hyperlink>
        </w:p>
        <w:p w14:paraId="229BB7BF" w14:textId="71E173A6" w:rsidR="00290430" w:rsidRDefault="00290430">
          <w:pPr>
            <w:pStyle w:val="TM1"/>
            <w:tabs>
              <w:tab w:val="left" w:pos="480"/>
              <w:tab w:val="right" w:leader="dot" w:pos="9056"/>
            </w:tabs>
            <w:rPr>
              <w:rFonts w:eastAsiaTheme="minorEastAsia"/>
              <w:b w:val="0"/>
              <w:bCs w:val="0"/>
              <w:i w:val="0"/>
              <w:iCs w:val="0"/>
              <w:noProof/>
              <w:lang w:eastAsia="fr-FR"/>
            </w:rPr>
          </w:pPr>
          <w:hyperlink w:anchor="_Toc49433216" w:history="1">
            <w:r w:rsidRPr="00723C4A">
              <w:rPr>
                <w:rStyle w:val="Lienhypertexte"/>
                <w:noProof/>
              </w:rPr>
              <w:t>4.</w:t>
            </w:r>
            <w:r>
              <w:rPr>
                <w:rFonts w:eastAsiaTheme="minorEastAsia"/>
                <w:b w:val="0"/>
                <w:bCs w:val="0"/>
                <w:i w:val="0"/>
                <w:iCs w:val="0"/>
                <w:noProof/>
                <w:lang w:eastAsia="fr-FR"/>
              </w:rPr>
              <w:tab/>
            </w:r>
            <w:r w:rsidRPr="00723C4A">
              <w:rPr>
                <w:rStyle w:val="Lienhypertexte"/>
                <w:noProof/>
              </w:rPr>
              <w:t>Quelles conditions doit réunir le responsable de traitement pour bénéficier de la procédure simplifiée d’accès aux données de l’EGB ?</w:t>
            </w:r>
            <w:r>
              <w:rPr>
                <w:noProof/>
                <w:webHidden/>
              </w:rPr>
              <w:tab/>
            </w:r>
            <w:r>
              <w:rPr>
                <w:noProof/>
                <w:webHidden/>
              </w:rPr>
              <w:fldChar w:fldCharType="begin"/>
            </w:r>
            <w:r>
              <w:rPr>
                <w:noProof/>
                <w:webHidden/>
              </w:rPr>
              <w:instrText xml:space="preserve"> PAGEREF _Toc49433216 \h </w:instrText>
            </w:r>
            <w:r>
              <w:rPr>
                <w:noProof/>
                <w:webHidden/>
              </w:rPr>
            </w:r>
            <w:r>
              <w:rPr>
                <w:noProof/>
                <w:webHidden/>
              </w:rPr>
              <w:fldChar w:fldCharType="separate"/>
            </w:r>
            <w:r>
              <w:rPr>
                <w:noProof/>
                <w:webHidden/>
              </w:rPr>
              <w:t>3</w:t>
            </w:r>
            <w:r>
              <w:rPr>
                <w:noProof/>
                <w:webHidden/>
              </w:rPr>
              <w:fldChar w:fldCharType="end"/>
            </w:r>
          </w:hyperlink>
        </w:p>
        <w:p w14:paraId="4AE4EFBB" w14:textId="52983418" w:rsidR="00290430" w:rsidRDefault="00290430">
          <w:pPr>
            <w:pStyle w:val="TM1"/>
            <w:tabs>
              <w:tab w:val="left" w:pos="480"/>
              <w:tab w:val="right" w:leader="dot" w:pos="9056"/>
            </w:tabs>
            <w:rPr>
              <w:rFonts w:eastAsiaTheme="minorEastAsia"/>
              <w:b w:val="0"/>
              <w:bCs w:val="0"/>
              <w:i w:val="0"/>
              <w:iCs w:val="0"/>
              <w:noProof/>
              <w:lang w:eastAsia="fr-FR"/>
            </w:rPr>
          </w:pPr>
          <w:hyperlink w:anchor="_Toc49433217" w:history="1">
            <w:r w:rsidRPr="00723C4A">
              <w:rPr>
                <w:rStyle w:val="Lienhypertexte"/>
                <w:noProof/>
              </w:rPr>
              <w:t>5.</w:t>
            </w:r>
            <w:r>
              <w:rPr>
                <w:rFonts w:eastAsiaTheme="minorEastAsia"/>
                <w:b w:val="0"/>
                <w:bCs w:val="0"/>
                <w:i w:val="0"/>
                <w:iCs w:val="0"/>
                <w:noProof/>
                <w:lang w:eastAsia="fr-FR"/>
              </w:rPr>
              <w:tab/>
            </w:r>
            <w:r w:rsidRPr="00723C4A">
              <w:rPr>
                <w:rStyle w:val="Lienhypertexte"/>
                <w:noProof/>
              </w:rPr>
              <w:t>Quelles pièces doit fournir le responsable de traitement dans le cadre d’une demande d’accès aux données de l’EGB par la procédure simplifiée ?</w:t>
            </w:r>
            <w:r>
              <w:rPr>
                <w:noProof/>
                <w:webHidden/>
              </w:rPr>
              <w:tab/>
            </w:r>
            <w:r>
              <w:rPr>
                <w:noProof/>
                <w:webHidden/>
              </w:rPr>
              <w:fldChar w:fldCharType="begin"/>
            </w:r>
            <w:r>
              <w:rPr>
                <w:noProof/>
                <w:webHidden/>
              </w:rPr>
              <w:instrText xml:space="preserve"> PAGEREF _Toc49433217 \h </w:instrText>
            </w:r>
            <w:r>
              <w:rPr>
                <w:noProof/>
                <w:webHidden/>
              </w:rPr>
            </w:r>
            <w:r>
              <w:rPr>
                <w:noProof/>
                <w:webHidden/>
              </w:rPr>
              <w:fldChar w:fldCharType="separate"/>
            </w:r>
            <w:r>
              <w:rPr>
                <w:noProof/>
                <w:webHidden/>
              </w:rPr>
              <w:t>3</w:t>
            </w:r>
            <w:r>
              <w:rPr>
                <w:noProof/>
                <w:webHidden/>
              </w:rPr>
              <w:fldChar w:fldCharType="end"/>
            </w:r>
          </w:hyperlink>
        </w:p>
        <w:p w14:paraId="4BCDAE80" w14:textId="78F3F897" w:rsidR="00290430" w:rsidRDefault="00290430">
          <w:pPr>
            <w:pStyle w:val="TM1"/>
            <w:tabs>
              <w:tab w:val="left" w:pos="480"/>
              <w:tab w:val="right" w:leader="dot" w:pos="9056"/>
            </w:tabs>
            <w:rPr>
              <w:rFonts w:eastAsiaTheme="minorEastAsia"/>
              <w:b w:val="0"/>
              <w:bCs w:val="0"/>
              <w:i w:val="0"/>
              <w:iCs w:val="0"/>
              <w:noProof/>
              <w:lang w:eastAsia="fr-FR"/>
            </w:rPr>
          </w:pPr>
          <w:hyperlink w:anchor="_Toc49433218" w:history="1">
            <w:r w:rsidRPr="00723C4A">
              <w:rPr>
                <w:rStyle w:val="Lienhypertexte"/>
                <w:noProof/>
              </w:rPr>
              <w:t>6.</w:t>
            </w:r>
            <w:r>
              <w:rPr>
                <w:rFonts w:eastAsiaTheme="minorEastAsia"/>
                <w:b w:val="0"/>
                <w:bCs w:val="0"/>
                <w:i w:val="0"/>
                <w:iCs w:val="0"/>
                <w:noProof/>
                <w:lang w:eastAsia="fr-FR"/>
              </w:rPr>
              <w:tab/>
            </w:r>
            <w:r w:rsidRPr="00723C4A">
              <w:rPr>
                <w:rStyle w:val="Lienhypertexte"/>
                <w:noProof/>
              </w:rPr>
              <w:t>Par quels moyens le responsable de traitement justifie-t-il la pertinence scientifique de son projet ?</w:t>
            </w:r>
            <w:r>
              <w:rPr>
                <w:noProof/>
                <w:webHidden/>
              </w:rPr>
              <w:tab/>
            </w:r>
            <w:r>
              <w:rPr>
                <w:noProof/>
                <w:webHidden/>
              </w:rPr>
              <w:fldChar w:fldCharType="begin"/>
            </w:r>
            <w:r>
              <w:rPr>
                <w:noProof/>
                <w:webHidden/>
              </w:rPr>
              <w:instrText xml:space="preserve"> PAGEREF _Toc49433218 \h </w:instrText>
            </w:r>
            <w:r>
              <w:rPr>
                <w:noProof/>
                <w:webHidden/>
              </w:rPr>
            </w:r>
            <w:r>
              <w:rPr>
                <w:noProof/>
                <w:webHidden/>
              </w:rPr>
              <w:fldChar w:fldCharType="separate"/>
            </w:r>
            <w:r>
              <w:rPr>
                <w:noProof/>
                <w:webHidden/>
              </w:rPr>
              <w:t>4</w:t>
            </w:r>
            <w:r>
              <w:rPr>
                <w:noProof/>
                <w:webHidden/>
              </w:rPr>
              <w:fldChar w:fldCharType="end"/>
            </w:r>
          </w:hyperlink>
        </w:p>
        <w:p w14:paraId="2CAC4EF9" w14:textId="2579EA56" w:rsidR="00290430" w:rsidRDefault="00290430">
          <w:pPr>
            <w:pStyle w:val="TM1"/>
            <w:tabs>
              <w:tab w:val="left" w:pos="480"/>
              <w:tab w:val="right" w:leader="dot" w:pos="9056"/>
            </w:tabs>
            <w:rPr>
              <w:rFonts w:eastAsiaTheme="minorEastAsia"/>
              <w:b w:val="0"/>
              <w:bCs w:val="0"/>
              <w:i w:val="0"/>
              <w:iCs w:val="0"/>
              <w:noProof/>
              <w:lang w:eastAsia="fr-FR"/>
            </w:rPr>
          </w:pPr>
          <w:hyperlink w:anchor="_Toc49433219" w:history="1">
            <w:r w:rsidRPr="00723C4A">
              <w:rPr>
                <w:rStyle w:val="Lienhypertexte"/>
                <w:noProof/>
              </w:rPr>
              <w:t>7.</w:t>
            </w:r>
            <w:r>
              <w:rPr>
                <w:rFonts w:eastAsiaTheme="minorEastAsia"/>
                <w:b w:val="0"/>
                <w:bCs w:val="0"/>
                <w:i w:val="0"/>
                <w:iCs w:val="0"/>
                <w:noProof/>
                <w:lang w:eastAsia="fr-FR"/>
              </w:rPr>
              <w:tab/>
            </w:r>
            <w:r w:rsidRPr="00723C4A">
              <w:rPr>
                <w:rStyle w:val="Lienhypertexte"/>
                <w:noProof/>
              </w:rPr>
              <w:t>Sur quels critères est jugée la finalité d’intérêt public de l’étude envisagée par le responsable de traitement ?</w:t>
            </w:r>
            <w:r>
              <w:rPr>
                <w:noProof/>
                <w:webHidden/>
              </w:rPr>
              <w:tab/>
            </w:r>
            <w:r>
              <w:rPr>
                <w:noProof/>
                <w:webHidden/>
              </w:rPr>
              <w:fldChar w:fldCharType="begin"/>
            </w:r>
            <w:r>
              <w:rPr>
                <w:noProof/>
                <w:webHidden/>
              </w:rPr>
              <w:instrText xml:space="preserve"> PAGEREF _Toc49433219 \h </w:instrText>
            </w:r>
            <w:r>
              <w:rPr>
                <w:noProof/>
                <w:webHidden/>
              </w:rPr>
            </w:r>
            <w:r>
              <w:rPr>
                <w:noProof/>
                <w:webHidden/>
              </w:rPr>
              <w:fldChar w:fldCharType="separate"/>
            </w:r>
            <w:r>
              <w:rPr>
                <w:noProof/>
                <w:webHidden/>
              </w:rPr>
              <w:t>5</w:t>
            </w:r>
            <w:r>
              <w:rPr>
                <w:noProof/>
                <w:webHidden/>
              </w:rPr>
              <w:fldChar w:fldCharType="end"/>
            </w:r>
          </w:hyperlink>
        </w:p>
        <w:p w14:paraId="695E8491" w14:textId="4E486C19" w:rsidR="00290430" w:rsidRDefault="00290430">
          <w:pPr>
            <w:pStyle w:val="TM1"/>
            <w:tabs>
              <w:tab w:val="left" w:pos="480"/>
              <w:tab w:val="right" w:leader="dot" w:pos="9056"/>
            </w:tabs>
            <w:rPr>
              <w:rFonts w:eastAsiaTheme="minorEastAsia"/>
              <w:b w:val="0"/>
              <w:bCs w:val="0"/>
              <w:i w:val="0"/>
              <w:iCs w:val="0"/>
              <w:noProof/>
              <w:lang w:eastAsia="fr-FR"/>
            </w:rPr>
          </w:pPr>
          <w:hyperlink w:anchor="_Toc49433220" w:history="1">
            <w:r w:rsidRPr="00723C4A">
              <w:rPr>
                <w:rStyle w:val="Lienhypertexte"/>
                <w:noProof/>
              </w:rPr>
              <w:t>8.</w:t>
            </w:r>
            <w:r>
              <w:rPr>
                <w:rFonts w:eastAsiaTheme="minorEastAsia"/>
                <w:b w:val="0"/>
                <w:bCs w:val="0"/>
                <w:i w:val="0"/>
                <w:iCs w:val="0"/>
                <w:noProof/>
                <w:lang w:eastAsia="fr-FR"/>
              </w:rPr>
              <w:tab/>
            </w:r>
            <w:r w:rsidRPr="00723C4A">
              <w:rPr>
                <w:rStyle w:val="Lienhypertexte"/>
                <w:noProof/>
              </w:rPr>
              <w:t>Quelle réponse apporte la Plateforme des données de santé (le Health Data Hub) à une demande d’accès simplifié et sous quel délai ?</w:t>
            </w:r>
            <w:r>
              <w:rPr>
                <w:noProof/>
                <w:webHidden/>
              </w:rPr>
              <w:tab/>
            </w:r>
            <w:r>
              <w:rPr>
                <w:noProof/>
                <w:webHidden/>
              </w:rPr>
              <w:fldChar w:fldCharType="begin"/>
            </w:r>
            <w:r>
              <w:rPr>
                <w:noProof/>
                <w:webHidden/>
              </w:rPr>
              <w:instrText xml:space="preserve"> PAGEREF _Toc49433220 \h </w:instrText>
            </w:r>
            <w:r>
              <w:rPr>
                <w:noProof/>
                <w:webHidden/>
              </w:rPr>
            </w:r>
            <w:r>
              <w:rPr>
                <w:noProof/>
                <w:webHidden/>
              </w:rPr>
              <w:fldChar w:fldCharType="separate"/>
            </w:r>
            <w:r>
              <w:rPr>
                <w:noProof/>
                <w:webHidden/>
              </w:rPr>
              <w:t>5</w:t>
            </w:r>
            <w:r>
              <w:rPr>
                <w:noProof/>
                <w:webHidden/>
              </w:rPr>
              <w:fldChar w:fldCharType="end"/>
            </w:r>
          </w:hyperlink>
        </w:p>
        <w:p w14:paraId="6A108DE8" w14:textId="21933C2A" w:rsidR="00290430" w:rsidRDefault="00290430">
          <w:pPr>
            <w:pStyle w:val="TM1"/>
            <w:tabs>
              <w:tab w:val="left" w:pos="480"/>
              <w:tab w:val="right" w:leader="dot" w:pos="9056"/>
            </w:tabs>
            <w:rPr>
              <w:rFonts w:eastAsiaTheme="minorEastAsia"/>
              <w:b w:val="0"/>
              <w:bCs w:val="0"/>
              <w:i w:val="0"/>
              <w:iCs w:val="0"/>
              <w:noProof/>
              <w:lang w:eastAsia="fr-FR"/>
            </w:rPr>
          </w:pPr>
          <w:hyperlink w:anchor="_Toc49433221" w:history="1">
            <w:r w:rsidRPr="00723C4A">
              <w:rPr>
                <w:rStyle w:val="Lienhypertexte"/>
                <w:noProof/>
              </w:rPr>
              <w:t>9.</w:t>
            </w:r>
            <w:r>
              <w:rPr>
                <w:rFonts w:eastAsiaTheme="minorEastAsia"/>
                <w:b w:val="0"/>
                <w:bCs w:val="0"/>
                <w:i w:val="0"/>
                <w:iCs w:val="0"/>
                <w:noProof/>
                <w:lang w:eastAsia="fr-FR"/>
              </w:rPr>
              <w:tab/>
            </w:r>
            <w:r w:rsidRPr="00723C4A">
              <w:rPr>
                <w:rStyle w:val="Lienhypertexte"/>
                <w:noProof/>
              </w:rPr>
              <w:t>En cas de transmission du dossier vers la procédure classique, le RT doit-il redéposer un dossier ?</w:t>
            </w:r>
            <w:r>
              <w:rPr>
                <w:noProof/>
                <w:webHidden/>
              </w:rPr>
              <w:tab/>
            </w:r>
            <w:r>
              <w:rPr>
                <w:noProof/>
                <w:webHidden/>
              </w:rPr>
              <w:fldChar w:fldCharType="begin"/>
            </w:r>
            <w:r>
              <w:rPr>
                <w:noProof/>
                <w:webHidden/>
              </w:rPr>
              <w:instrText xml:space="preserve"> PAGEREF _Toc49433221 \h </w:instrText>
            </w:r>
            <w:r>
              <w:rPr>
                <w:noProof/>
                <w:webHidden/>
              </w:rPr>
            </w:r>
            <w:r>
              <w:rPr>
                <w:noProof/>
                <w:webHidden/>
              </w:rPr>
              <w:fldChar w:fldCharType="separate"/>
            </w:r>
            <w:r>
              <w:rPr>
                <w:noProof/>
                <w:webHidden/>
              </w:rPr>
              <w:t>6</w:t>
            </w:r>
            <w:r>
              <w:rPr>
                <w:noProof/>
                <w:webHidden/>
              </w:rPr>
              <w:fldChar w:fldCharType="end"/>
            </w:r>
          </w:hyperlink>
        </w:p>
        <w:p w14:paraId="1820F851" w14:textId="1FA25248" w:rsidR="00290430" w:rsidRDefault="00290430">
          <w:pPr>
            <w:pStyle w:val="TM1"/>
            <w:tabs>
              <w:tab w:val="left" w:pos="720"/>
              <w:tab w:val="right" w:leader="dot" w:pos="9056"/>
            </w:tabs>
            <w:rPr>
              <w:rFonts w:eastAsiaTheme="minorEastAsia"/>
              <w:b w:val="0"/>
              <w:bCs w:val="0"/>
              <w:i w:val="0"/>
              <w:iCs w:val="0"/>
              <w:noProof/>
              <w:lang w:eastAsia="fr-FR"/>
            </w:rPr>
          </w:pPr>
          <w:hyperlink w:anchor="_Toc49433222" w:history="1">
            <w:r w:rsidRPr="00723C4A">
              <w:rPr>
                <w:rStyle w:val="Lienhypertexte"/>
                <w:noProof/>
              </w:rPr>
              <w:t>10.</w:t>
            </w:r>
            <w:r>
              <w:rPr>
                <w:rFonts w:eastAsiaTheme="minorEastAsia"/>
                <w:b w:val="0"/>
                <w:bCs w:val="0"/>
                <w:i w:val="0"/>
                <w:iCs w:val="0"/>
                <w:noProof/>
                <w:lang w:eastAsia="fr-FR"/>
              </w:rPr>
              <w:tab/>
            </w:r>
            <w:r w:rsidRPr="00723C4A">
              <w:rPr>
                <w:rStyle w:val="Lienhypertexte"/>
                <w:noProof/>
              </w:rPr>
              <w:t>Synthèse</w:t>
            </w:r>
            <w:r>
              <w:rPr>
                <w:noProof/>
                <w:webHidden/>
              </w:rPr>
              <w:tab/>
            </w:r>
            <w:r>
              <w:rPr>
                <w:noProof/>
                <w:webHidden/>
              </w:rPr>
              <w:fldChar w:fldCharType="begin"/>
            </w:r>
            <w:r>
              <w:rPr>
                <w:noProof/>
                <w:webHidden/>
              </w:rPr>
              <w:instrText xml:space="preserve"> PAGEREF _Toc49433222 \h </w:instrText>
            </w:r>
            <w:r>
              <w:rPr>
                <w:noProof/>
                <w:webHidden/>
              </w:rPr>
            </w:r>
            <w:r>
              <w:rPr>
                <w:noProof/>
                <w:webHidden/>
              </w:rPr>
              <w:fldChar w:fldCharType="separate"/>
            </w:r>
            <w:r>
              <w:rPr>
                <w:noProof/>
                <w:webHidden/>
              </w:rPr>
              <w:t>7</w:t>
            </w:r>
            <w:r>
              <w:rPr>
                <w:noProof/>
                <w:webHidden/>
              </w:rPr>
              <w:fldChar w:fldCharType="end"/>
            </w:r>
          </w:hyperlink>
        </w:p>
        <w:p w14:paraId="677529D1" w14:textId="43E2F8A4" w:rsidR="00E37CFE" w:rsidRDefault="00491BF3" w:rsidP="00E37CFE">
          <w:pPr>
            <w:ind w:right="-573"/>
            <w:rPr>
              <w:b/>
              <w:bCs/>
              <w:noProof/>
              <w:sz w:val="22"/>
              <w:szCs w:val="22"/>
            </w:rPr>
          </w:pPr>
          <w:r w:rsidRPr="00E37CFE">
            <w:rPr>
              <w:bCs/>
              <w:noProof/>
              <w:sz w:val="22"/>
              <w:szCs w:val="22"/>
            </w:rPr>
            <w:lastRenderedPageBreak/>
            <w:fldChar w:fldCharType="end"/>
          </w:r>
        </w:p>
      </w:sdtContent>
    </w:sdt>
    <w:p w14:paraId="1273E2C7" w14:textId="7B78E1A3" w:rsidR="00486A40" w:rsidRPr="00491BF3" w:rsidRDefault="00AE05B6" w:rsidP="00491BF3">
      <w:pPr>
        <w:pStyle w:val="Titre1"/>
        <w:numPr>
          <w:ilvl w:val="0"/>
          <w:numId w:val="9"/>
        </w:numPr>
        <w:rPr>
          <w:sz w:val="24"/>
          <w:szCs w:val="24"/>
          <w:u w:val="single"/>
        </w:rPr>
      </w:pPr>
      <w:bookmarkStart w:id="1" w:name="_Toc49433213"/>
      <w:r w:rsidRPr="00491BF3">
        <w:rPr>
          <w:sz w:val="24"/>
          <w:szCs w:val="24"/>
          <w:u w:val="single"/>
        </w:rPr>
        <w:t>Quelles données sont concernées par la procédure simplifiée ?</w:t>
      </w:r>
      <w:bookmarkEnd w:id="1"/>
    </w:p>
    <w:p w14:paraId="7665AE16" w14:textId="77777777" w:rsidR="00AE05B6" w:rsidRPr="001126F4" w:rsidRDefault="00AE05B6" w:rsidP="00486A40">
      <w:pPr>
        <w:jc w:val="both"/>
        <w:rPr>
          <w:rFonts w:ascii="Times New Roman" w:hAnsi="Times New Roman" w:cs="Times New Roman"/>
        </w:rPr>
      </w:pPr>
    </w:p>
    <w:p w14:paraId="1C28CF68" w14:textId="0E72C967" w:rsidR="002D23B8" w:rsidRPr="002D23B8" w:rsidRDefault="0027393D" w:rsidP="00486A40">
      <w:pPr>
        <w:jc w:val="both"/>
        <w:rPr>
          <w:rFonts w:ascii="Times New Roman" w:hAnsi="Times New Roman" w:cs="Times New Roman"/>
        </w:rPr>
      </w:pPr>
      <w:r w:rsidRPr="009D7B01">
        <w:rPr>
          <w:rFonts w:ascii="Times New Roman" w:hAnsi="Times New Roman" w:cs="Times New Roman"/>
        </w:rPr>
        <w:t xml:space="preserve">Seuls </w:t>
      </w:r>
      <w:r w:rsidRPr="002D23B8">
        <w:rPr>
          <w:rFonts w:ascii="Times New Roman" w:hAnsi="Times New Roman" w:cs="Times New Roman"/>
        </w:rPr>
        <w:t xml:space="preserve">l’accès aux tableaux de bord, données agrégées (ou </w:t>
      </w:r>
      <w:proofErr w:type="spellStart"/>
      <w:r w:rsidRPr="002D23B8">
        <w:rPr>
          <w:rFonts w:ascii="Times New Roman" w:hAnsi="Times New Roman" w:cs="Times New Roman"/>
        </w:rPr>
        <w:t>datamarts</w:t>
      </w:r>
      <w:proofErr w:type="spellEnd"/>
      <w:r w:rsidRPr="002D23B8">
        <w:rPr>
          <w:rFonts w:ascii="Times New Roman" w:hAnsi="Times New Roman" w:cs="Times New Roman"/>
        </w:rPr>
        <w:t>) et données de l’EGB</w:t>
      </w:r>
      <w:r w:rsidR="00547919" w:rsidRPr="00DB44F5">
        <w:rPr>
          <w:rStyle w:val="Appelnotedebasdep"/>
          <w:rFonts w:ascii="Times New Roman" w:hAnsi="Times New Roman" w:cs="Times New Roman"/>
        </w:rPr>
        <w:footnoteReference w:id="1"/>
      </w:r>
      <w:r w:rsidRPr="00DB44F5">
        <w:rPr>
          <w:rFonts w:ascii="Times New Roman" w:hAnsi="Times New Roman" w:cs="Times New Roman"/>
        </w:rPr>
        <w:t xml:space="preserve"> sont </w:t>
      </w:r>
      <w:r w:rsidR="00287702" w:rsidRPr="001126F4">
        <w:rPr>
          <w:rFonts w:ascii="Times New Roman" w:hAnsi="Times New Roman" w:cs="Times New Roman"/>
        </w:rPr>
        <w:t>concernés par la procédure simplifiée</w:t>
      </w:r>
      <w:r w:rsidRPr="009D7B01">
        <w:rPr>
          <w:rFonts w:ascii="Times New Roman" w:hAnsi="Times New Roman" w:cs="Times New Roman"/>
        </w:rPr>
        <w:t>. Il s’agit des m</w:t>
      </w:r>
      <w:r w:rsidRPr="002D23B8">
        <w:rPr>
          <w:rFonts w:ascii="Times New Roman" w:hAnsi="Times New Roman" w:cs="Times New Roman"/>
        </w:rPr>
        <w:t>êmes restitutions que celles accessibles dans le cadre de la</w:t>
      </w:r>
      <w:r w:rsidR="002B51F0" w:rsidRPr="002D23B8">
        <w:rPr>
          <w:rFonts w:ascii="Times New Roman" w:hAnsi="Times New Roman" w:cs="Times New Roman"/>
        </w:rPr>
        <w:t xml:space="preserve"> procédure classique. </w:t>
      </w:r>
    </w:p>
    <w:p w14:paraId="59551081" w14:textId="77777777" w:rsidR="002D23B8" w:rsidRPr="002D23B8" w:rsidRDefault="002D23B8" w:rsidP="00486A40">
      <w:pPr>
        <w:jc w:val="both"/>
        <w:rPr>
          <w:rFonts w:ascii="Times New Roman" w:hAnsi="Times New Roman" w:cs="Times New Roman"/>
        </w:rPr>
      </w:pPr>
    </w:p>
    <w:p w14:paraId="342BC68E" w14:textId="6C7414A4" w:rsidR="002D23B8" w:rsidRPr="00C107F2" w:rsidRDefault="00330655" w:rsidP="00486A40">
      <w:pPr>
        <w:jc w:val="both"/>
        <w:rPr>
          <w:rFonts w:ascii="Times New Roman" w:hAnsi="Times New Roman" w:cs="Times New Roman"/>
          <w:color w:val="FFC000"/>
          <w:u w:val="single"/>
        </w:rPr>
      </w:pPr>
      <w:r>
        <w:rPr>
          <w:rFonts w:ascii="Times New Roman" w:hAnsi="Times New Roman" w:cs="Times New Roman"/>
          <w:color w:val="FFC000"/>
          <w:u w:val="single"/>
        </w:rPr>
        <w:t>Point</w:t>
      </w:r>
      <w:r w:rsidR="0058353C">
        <w:rPr>
          <w:rFonts w:ascii="Times New Roman" w:hAnsi="Times New Roman" w:cs="Times New Roman"/>
          <w:color w:val="FFC000"/>
          <w:u w:val="single"/>
        </w:rPr>
        <w:t>s</w:t>
      </w:r>
      <w:r>
        <w:rPr>
          <w:rFonts w:ascii="Times New Roman" w:hAnsi="Times New Roman" w:cs="Times New Roman"/>
          <w:color w:val="FFC000"/>
          <w:u w:val="single"/>
        </w:rPr>
        <w:t xml:space="preserve"> de vigilance </w:t>
      </w:r>
      <w:r w:rsidR="002D23B8" w:rsidRPr="00C107F2">
        <w:rPr>
          <w:rFonts w:ascii="Times New Roman" w:hAnsi="Times New Roman" w:cs="Times New Roman"/>
          <w:color w:val="FFC000"/>
          <w:u w:val="single"/>
        </w:rPr>
        <w:t>:</w:t>
      </w:r>
    </w:p>
    <w:p w14:paraId="7AA5F9F4" w14:textId="64A51A1B" w:rsidR="0027393D" w:rsidRPr="00DB44F5" w:rsidRDefault="0027393D" w:rsidP="00491BF3">
      <w:pPr>
        <w:pStyle w:val="Paragraphedeliste"/>
        <w:numPr>
          <w:ilvl w:val="0"/>
          <w:numId w:val="3"/>
        </w:numPr>
        <w:ind w:left="1985" w:hanging="142"/>
        <w:jc w:val="both"/>
        <w:rPr>
          <w:rFonts w:ascii="Times New Roman" w:hAnsi="Times New Roman" w:cs="Times New Roman"/>
        </w:rPr>
      </w:pPr>
      <w:r w:rsidRPr="00C107F2">
        <w:rPr>
          <w:rFonts w:ascii="Times New Roman" w:hAnsi="Times New Roman" w:cs="Times New Roman"/>
        </w:rPr>
        <w:t>Les demandes d’appariement (par exemple entre les données de l’EGB et celles d’une enquête) ne rentrent pas dans le champ d’application de la présente procédure</w:t>
      </w:r>
      <w:r w:rsidR="0058353C">
        <w:rPr>
          <w:rFonts w:ascii="Times New Roman" w:hAnsi="Times New Roman" w:cs="Times New Roman"/>
        </w:rPr>
        <w:t> ;</w:t>
      </w:r>
    </w:p>
    <w:p w14:paraId="6AFF4E44" w14:textId="2CE765A9" w:rsidR="002D23B8" w:rsidRPr="00C107F2" w:rsidRDefault="002D23B8" w:rsidP="00491BF3">
      <w:pPr>
        <w:pStyle w:val="Paragraphedeliste"/>
        <w:numPr>
          <w:ilvl w:val="0"/>
          <w:numId w:val="3"/>
        </w:numPr>
        <w:ind w:left="1985" w:hanging="142"/>
        <w:jc w:val="both"/>
        <w:rPr>
          <w:rFonts w:ascii="Times New Roman" w:hAnsi="Times New Roman" w:cs="Times New Roman"/>
        </w:rPr>
      </w:pPr>
      <w:r w:rsidRPr="00D67C2F">
        <w:rPr>
          <w:rFonts w:ascii="Times New Roman" w:hAnsi="Times New Roman" w:cs="Times New Roman"/>
        </w:rPr>
        <w:t xml:space="preserve">Le </w:t>
      </w:r>
      <w:r w:rsidRPr="001126F4">
        <w:rPr>
          <w:rFonts w:ascii="Times New Roman" w:hAnsi="Times New Roman" w:cs="Times New Roman"/>
        </w:rPr>
        <w:t>croisement de plusieurs identifiants potentiels du SNDS (</w:t>
      </w:r>
      <w:r w:rsidR="00FD6A56" w:rsidRPr="00FD6A56">
        <w:rPr>
          <w:rFonts w:ascii="Times New Roman" w:hAnsi="Times New Roman" w:cs="Times New Roman"/>
        </w:rPr>
        <w:t>période de naissanc</w:t>
      </w:r>
      <w:r w:rsidR="00FD6A56">
        <w:rPr>
          <w:rFonts w:ascii="Times New Roman" w:hAnsi="Times New Roman" w:cs="Times New Roman"/>
        </w:rPr>
        <w:t xml:space="preserve">e exprimée en mois et année, </w:t>
      </w:r>
      <w:r w:rsidR="00FD6A56" w:rsidRPr="00FD6A56">
        <w:rPr>
          <w:rFonts w:ascii="Times New Roman" w:hAnsi="Times New Roman" w:cs="Times New Roman"/>
        </w:rPr>
        <w:t>code de</w:t>
      </w:r>
      <w:r w:rsidR="00FD6A56">
        <w:rPr>
          <w:rFonts w:ascii="Times New Roman" w:hAnsi="Times New Roman" w:cs="Times New Roman"/>
        </w:rPr>
        <w:t xml:space="preserve"> la commune de résidence et </w:t>
      </w:r>
      <w:r w:rsidR="00FD6A56" w:rsidRPr="00FD6A56">
        <w:rPr>
          <w:rFonts w:ascii="Times New Roman" w:hAnsi="Times New Roman" w:cs="Times New Roman"/>
        </w:rPr>
        <w:t xml:space="preserve">données </w:t>
      </w:r>
      <w:proofErr w:type="spellStart"/>
      <w:r w:rsidR="00FD6A56" w:rsidRPr="00FD6A56">
        <w:rPr>
          <w:rFonts w:ascii="Times New Roman" w:hAnsi="Times New Roman" w:cs="Times New Roman"/>
        </w:rPr>
        <w:t>inf</w:t>
      </w:r>
      <w:r w:rsidR="00FD6A56">
        <w:rPr>
          <w:rFonts w:ascii="Times New Roman" w:hAnsi="Times New Roman" w:cs="Times New Roman"/>
        </w:rPr>
        <w:t>racommunales</w:t>
      </w:r>
      <w:proofErr w:type="spellEnd"/>
      <w:r w:rsidR="00FD6A56">
        <w:rPr>
          <w:rFonts w:ascii="Times New Roman" w:hAnsi="Times New Roman" w:cs="Times New Roman"/>
        </w:rPr>
        <w:t xml:space="preserve"> de localisation, date des soins, date du décès, </w:t>
      </w:r>
      <w:r w:rsidR="00FD6A56" w:rsidRPr="00FD6A56">
        <w:rPr>
          <w:rFonts w:ascii="Times New Roman" w:hAnsi="Times New Roman" w:cs="Times New Roman"/>
        </w:rPr>
        <w:t>code de la commune de décès</w:t>
      </w:r>
      <w:r w:rsidRPr="001126F4">
        <w:rPr>
          <w:rFonts w:ascii="Times New Roman" w:hAnsi="Times New Roman" w:cs="Times New Roman"/>
        </w:rPr>
        <w:t>) n’</w:t>
      </w:r>
      <w:r w:rsidRPr="009D7B01">
        <w:rPr>
          <w:rFonts w:ascii="Times New Roman" w:hAnsi="Times New Roman" w:cs="Times New Roman"/>
        </w:rPr>
        <w:t>est pas permis dans le cadre de cette procédure</w:t>
      </w:r>
    </w:p>
    <w:p w14:paraId="01143172" w14:textId="77777777" w:rsidR="0027393D" w:rsidRPr="00DB44F5" w:rsidRDefault="0027393D" w:rsidP="00486A40">
      <w:pPr>
        <w:jc w:val="both"/>
        <w:rPr>
          <w:rFonts w:ascii="Times New Roman" w:hAnsi="Times New Roman" w:cs="Times New Roman"/>
        </w:rPr>
      </w:pPr>
    </w:p>
    <w:p w14:paraId="02CF9848" w14:textId="1E3696AD" w:rsidR="00154F12" w:rsidRPr="00491BF3" w:rsidRDefault="001126F4" w:rsidP="00491BF3">
      <w:pPr>
        <w:pStyle w:val="Titre1"/>
        <w:numPr>
          <w:ilvl w:val="0"/>
          <w:numId w:val="9"/>
        </w:numPr>
        <w:rPr>
          <w:sz w:val="24"/>
          <w:szCs w:val="24"/>
          <w:u w:val="single"/>
        </w:rPr>
      </w:pPr>
      <w:bookmarkStart w:id="2" w:name="_Toc49433214"/>
      <w:r w:rsidRPr="00491BF3">
        <w:rPr>
          <w:sz w:val="24"/>
          <w:szCs w:val="24"/>
          <w:u w:val="single"/>
        </w:rPr>
        <w:t>Qui choisit la procédure d’accès ?</w:t>
      </w:r>
      <w:bookmarkEnd w:id="2"/>
    </w:p>
    <w:p w14:paraId="7111A72B" w14:textId="77777777" w:rsidR="00154F12" w:rsidRPr="001126F4" w:rsidRDefault="00154F12" w:rsidP="00486A40">
      <w:pPr>
        <w:jc w:val="both"/>
        <w:rPr>
          <w:rFonts w:ascii="Times New Roman" w:hAnsi="Times New Roman" w:cs="Times New Roman"/>
        </w:rPr>
      </w:pPr>
    </w:p>
    <w:p w14:paraId="5B0BFE03" w14:textId="53CB7E49" w:rsidR="00547919" w:rsidRPr="009D7B01" w:rsidRDefault="00154F12" w:rsidP="00486A40">
      <w:pPr>
        <w:jc w:val="both"/>
        <w:rPr>
          <w:rFonts w:ascii="Times New Roman" w:hAnsi="Times New Roman" w:cs="Times New Roman"/>
        </w:rPr>
      </w:pPr>
      <w:r w:rsidRPr="009D7B01">
        <w:rPr>
          <w:rFonts w:ascii="Times New Roman" w:hAnsi="Times New Roman" w:cs="Times New Roman"/>
        </w:rPr>
        <w:t xml:space="preserve">Il appartient au </w:t>
      </w:r>
      <w:r w:rsidR="005C0C02" w:rsidRPr="009D7B01">
        <w:rPr>
          <w:rFonts w:ascii="Times New Roman" w:hAnsi="Times New Roman" w:cs="Times New Roman"/>
        </w:rPr>
        <w:t>r</w:t>
      </w:r>
      <w:r w:rsidRPr="002D23B8">
        <w:rPr>
          <w:rFonts w:ascii="Times New Roman" w:hAnsi="Times New Roman" w:cs="Times New Roman"/>
        </w:rPr>
        <w:t xml:space="preserve">esponsable de traitement </w:t>
      </w:r>
      <w:r w:rsidR="005C0C02" w:rsidRPr="002D23B8">
        <w:rPr>
          <w:rFonts w:ascii="Times New Roman" w:hAnsi="Times New Roman" w:cs="Times New Roman"/>
        </w:rPr>
        <w:t xml:space="preserve">(RT) </w:t>
      </w:r>
      <w:r w:rsidR="007B1CDA" w:rsidRPr="002D23B8">
        <w:rPr>
          <w:rFonts w:ascii="Times New Roman" w:hAnsi="Times New Roman" w:cs="Times New Roman"/>
        </w:rPr>
        <w:t xml:space="preserve">de </w:t>
      </w:r>
      <w:r w:rsidR="002D23B8" w:rsidRPr="002D23B8">
        <w:rPr>
          <w:rFonts w:ascii="Times New Roman" w:hAnsi="Times New Roman" w:cs="Times New Roman"/>
        </w:rPr>
        <w:t xml:space="preserve">choisir la procédure dont relève son projet : </w:t>
      </w:r>
      <w:r w:rsidR="002D23B8" w:rsidRPr="00C107F2">
        <w:rPr>
          <w:rFonts w:ascii="Times New Roman" w:hAnsi="Times New Roman" w:cs="Times New Roman"/>
          <w:color w:val="4472C4" w:themeColor="accent1"/>
        </w:rPr>
        <w:t>procédure classique (CE</w:t>
      </w:r>
      <w:r w:rsidR="003B505C">
        <w:rPr>
          <w:rFonts w:ascii="Times New Roman" w:hAnsi="Times New Roman" w:cs="Times New Roman"/>
          <w:color w:val="4472C4" w:themeColor="accent1"/>
        </w:rPr>
        <w:t>S</w:t>
      </w:r>
      <w:r w:rsidR="002D23B8" w:rsidRPr="00C107F2">
        <w:rPr>
          <w:rFonts w:ascii="Times New Roman" w:hAnsi="Times New Roman" w:cs="Times New Roman"/>
          <w:color w:val="4472C4" w:themeColor="accent1"/>
        </w:rPr>
        <w:t>REES &amp; CNIL)</w:t>
      </w:r>
      <w:r w:rsidR="002D23B8" w:rsidRPr="00DB44F5">
        <w:rPr>
          <w:rFonts w:ascii="Times New Roman" w:hAnsi="Times New Roman" w:cs="Times New Roman"/>
        </w:rPr>
        <w:t xml:space="preserve"> ou </w:t>
      </w:r>
      <w:r w:rsidR="002D23B8" w:rsidRPr="00C107F2">
        <w:rPr>
          <w:rFonts w:ascii="Times New Roman" w:hAnsi="Times New Roman" w:cs="Times New Roman"/>
          <w:color w:val="4472C4" w:themeColor="accent1"/>
        </w:rPr>
        <w:t>procédure simplifiée (</w:t>
      </w:r>
      <w:r w:rsidR="003B505C">
        <w:rPr>
          <w:rFonts w:ascii="Times New Roman" w:hAnsi="Times New Roman" w:cs="Times New Roman"/>
          <w:color w:val="4472C4" w:themeColor="accent1"/>
        </w:rPr>
        <w:t>Plateforme des données de Santé</w:t>
      </w:r>
      <w:r w:rsidR="002D23B8" w:rsidRPr="00C107F2">
        <w:rPr>
          <w:rFonts w:ascii="Times New Roman" w:hAnsi="Times New Roman" w:cs="Times New Roman"/>
          <w:color w:val="4472C4" w:themeColor="accent1"/>
        </w:rPr>
        <w:t>).</w:t>
      </w:r>
      <w:r w:rsidR="002D23B8" w:rsidRPr="00DB44F5">
        <w:rPr>
          <w:rFonts w:ascii="Times New Roman" w:hAnsi="Times New Roman" w:cs="Times New Roman"/>
        </w:rPr>
        <w:t xml:space="preserve"> Pour chacune d</w:t>
      </w:r>
      <w:r w:rsidR="002D23B8" w:rsidRPr="00D67C2F">
        <w:rPr>
          <w:rFonts w:ascii="Times New Roman" w:hAnsi="Times New Roman" w:cs="Times New Roman"/>
        </w:rPr>
        <w:t>’</w:t>
      </w:r>
      <w:r w:rsidR="002D23B8" w:rsidRPr="001126F4">
        <w:rPr>
          <w:rFonts w:ascii="Times New Roman" w:hAnsi="Times New Roman" w:cs="Times New Roman"/>
        </w:rPr>
        <w:t>entre elles</w:t>
      </w:r>
      <w:r w:rsidR="002D23B8" w:rsidRPr="009D7B01">
        <w:rPr>
          <w:rFonts w:ascii="Times New Roman" w:hAnsi="Times New Roman" w:cs="Times New Roman"/>
        </w:rPr>
        <w:t>, une soumission électronique dédiée est prévue.</w:t>
      </w:r>
    </w:p>
    <w:p w14:paraId="04F4702A" w14:textId="77777777" w:rsidR="002D23B8" w:rsidRPr="002D23B8" w:rsidRDefault="002D23B8" w:rsidP="00974AE4">
      <w:pPr>
        <w:jc w:val="both"/>
        <w:rPr>
          <w:rFonts w:ascii="Times New Roman" w:hAnsi="Times New Roman" w:cs="Times New Roman"/>
        </w:rPr>
      </w:pPr>
    </w:p>
    <w:p w14:paraId="044C642D" w14:textId="68D89D6B" w:rsidR="00154F12" w:rsidRPr="00491BF3" w:rsidRDefault="00154F12" w:rsidP="00491BF3">
      <w:pPr>
        <w:pStyle w:val="Titre1"/>
        <w:numPr>
          <w:ilvl w:val="0"/>
          <w:numId w:val="9"/>
        </w:numPr>
        <w:rPr>
          <w:sz w:val="24"/>
          <w:szCs w:val="24"/>
          <w:u w:val="single"/>
        </w:rPr>
      </w:pPr>
      <w:bookmarkStart w:id="3" w:name="_Toc49433215"/>
      <w:r w:rsidRPr="00491BF3">
        <w:rPr>
          <w:sz w:val="24"/>
          <w:szCs w:val="24"/>
          <w:u w:val="single"/>
        </w:rPr>
        <w:t xml:space="preserve">Quels engagements </w:t>
      </w:r>
      <w:r w:rsidR="002B51F0" w:rsidRPr="00491BF3">
        <w:rPr>
          <w:sz w:val="24"/>
          <w:szCs w:val="24"/>
          <w:u w:val="single"/>
        </w:rPr>
        <w:t>le responsable de traitement doit prendre pour</w:t>
      </w:r>
      <w:r w:rsidRPr="00491BF3">
        <w:rPr>
          <w:sz w:val="24"/>
          <w:szCs w:val="24"/>
          <w:u w:val="single"/>
        </w:rPr>
        <w:t xml:space="preserve"> </w:t>
      </w:r>
      <w:r w:rsidR="0009707E" w:rsidRPr="00491BF3">
        <w:rPr>
          <w:sz w:val="24"/>
          <w:szCs w:val="24"/>
          <w:u w:val="single"/>
        </w:rPr>
        <w:t xml:space="preserve">être éligible à </w:t>
      </w:r>
      <w:r w:rsidRPr="00491BF3">
        <w:rPr>
          <w:sz w:val="24"/>
          <w:szCs w:val="24"/>
          <w:u w:val="single"/>
        </w:rPr>
        <w:t>la procédure simplifiée</w:t>
      </w:r>
      <w:r w:rsidR="00536F0D" w:rsidRPr="00491BF3">
        <w:rPr>
          <w:sz w:val="24"/>
          <w:szCs w:val="24"/>
          <w:u w:val="single"/>
        </w:rPr>
        <w:t xml:space="preserve"> d’accès aux données de l’EGB</w:t>
      </w:r>
      <w:r w:rsidR="008F1AF0" w:rsidRPr="00491BF3">
        <w:rPr>
          <w:sz w:val="24"/>
          <w:szCs w:val="24"/>
        </w:rPr>
        <w:footnoteReference w:id="2"/>
      </w:r>
      <w:r w:rsidRPr="00491BF3">
        <w:rPr>
          <w:sz w:val="24"/>
          <w:szCs w:val="24"/>
          <w:u w:val="single"/>
        </w:rPr>
        <w:t> ?</w:t>
      </w:r>
      <w:bookmarkEnd w:id="3"/>
    </w:p>
    <w:p w14:paraId="01ABD14B" w14:textId="77777777" w:rsidR="00154F12" w:rsidRPr="00C107F2" w:rsidRDefault="00154F12" w:rsidP="00974AE4">
      <w:pPr>
        <w:jc w:val="both"/>
        <w:rPr>
          <w:rFonts w:ascii="Times New Roman" w:hAnsi="Times New Roman" w:cs="Times New Roman"/>
        </w:rPr>
      </w:pPr>
    </w:p>
    <w:p w14:paraId="3788CD8A" w14:textId="77777777" w:rsidR="00154F12" w:rsidRDefault="00154F12" w:rsidP="00974AE4">
      <w:pPr>
        <w:jc w:val="both"/>
        <w:rPr>
          <w:rFonts w:ascii="Times New Roman" w:hAnsi="Times New Roman" w:cs="Times New Roman"/>
        </w:rPr>
      </w:pPr>
      <w:r w:rsidRPr="00C107F2">
        <w:rPr>
          <w:rFonts w:ascii="Times New Roman" w:hAnsi="Times New Roman" w:cs="Times New Roman"/>
        </w:rPr>
        <w:t>Les dispositions législatives et règlementaires relatives au SNDS et applicables au traitement des données de l’EGB</w:t>
      </w:r>
      <w:r w:rsidR="00047D81" w:rsidRPr="00C107F2">
        <w:rPr>
          <w:rFonts w:ascii="Times New Roman" w:hAnsi="Times New Roman" w:cs="Times New Roman"/>
        </w:rPr>
        <w:t xml:space="preserve"> exigent du demandeur qu’il s’engage à :</w:t>
      </w:r>
    </w:p>
    <w:p w14:paraId="36FA66C4" w14:textId="77777777" w:rsidR="008F1AF0" w:rsidRPr="00C107F2" w:rsidRDefault="008F1AF0" w:rsidP="00974AE4">
      <w:pPr>
        <w:jc w:val="both"/>
        <w:rPr>
          <w:rFonts w:ascii="Times New Roman" w:hAnsi="Times New Roman" w:cs="Times New Roman"/>
        </w:rPr>
      </w:pPr>
    </w:p>
    <w:p w14:paraId="48AB9D06" w14:textId="5C594BD3" w:rsidR="003E5DCA" w:rsidRDefault="00047D81" w:rsidP="00E37CFE">
      <w:pPr>
        <w:pStyle w:val="Paragraphedeliste"/>
        <w:numPr>
          <w:ilvl w:val="0"/>
          <w:numId w:val="10"/>
        </w:numPr>
        <w:jc w:val="both"/>
        <w:rPr>
          <w:rFonts w:ascii="Times New Roman" w:hAnsi="Times New Roman" w:cs="Times New Roman"/>
        </w:rPr>
      </w:pPr>
      <w:r w:rsidRPr="00C107F2">
        <w:rPr>
          <w:rFonts w:ascii="Times New Roman" w:hAnsi="Times New Roman" w:cs="Times New Roman"/>
        </w:rPr>
        <w:t>Ne pas utiliser les données extraites pour les finalités interdites prévues au V de l’art. L. 1461-1 du CSP</w:t>
      </w:r>
      <w:r w:rsidR="002B42A7" w:rsidRPr="00C107F2">
        <w:rPr>
          <w:rFonts w:ascii="Times New Roman" w:hAnsi="Times New Roman" w:cs="Times New Roman"/>
        </w:rPr>
        <w:t>. Plus précisément, cet article dispose que les données du SNDS ne peuvent être traitées pour</w:t>
      </w:r>
      <w:r w:rsidR="003E5DCA">
        <w:rPr>
          <w:rFonts w:ascii="Times New Roman" w:hAnsi="Times New Roman" w:cs="Times New Roman"/>
        </w:rPr>
        <w:t> :</w:t>
      </w:r>
    </w:p>
    <w:p w14:paraId="68BED2EA" w14:textId="77777777" w:rsidR="003E5DCA" w:rsidRDefault="002B42A7" w:rsidP="00E37CFE">
      <w:pPr>
        <w:pStyle w:val="Paragraphedeliste"/>
        <w:numPr>
          <w:ilvl w:val="1"/>
          <w:numId w:val="11"/>
        </w:numPr>
        <w:jc w:val="both"/>
        <w:rPr>
          <w:rFonts w:ascii="Times New Roman" w:hAnsi="Times New Roman" w:cs="Times New Roman"/>
        </w:rPr>
      </w:pPr>
      <w:r w:rsidRPr="00C107F2">
        <w:rPr>
          <w:rFonts w:ascii="Times New Roman" w:hAnsi="Times New Roman" w:cs="Times New Roman"/>
        </w:rPr>
        <w:t xml:space="preserve">la promotion des produits de santé mentionnés au II de l'article L. 5311-1 du même Code en direction des professionnels de santé ou d'établissements de santé, </w:t>
      </w:r>
    </w:p>
    <w:p w14:paraId="1641EFD2" w14:textId="591C0BA1" w:rsidR="00047D81" w:rsidRPr="00C107F2" w:rsidRDefault="002B42A7" w:rsidP="00E37CFE">
      <w:pPr>
        <w:pStyle w:val="Paragraphedeliste"/>
        <w:numPr>
          <w:ilvl w:val="1"/>
          <w:numId w:val="11"/>
        </w:numPr>
        <w:jc w:val="both"/>
        <w:rPr>
          <w:rFonts w:ascii="Times New Roman" w:hAnsi="Times New Roman" w:cs="Times New Roman"/>
        </w:rPr>
      </w:pPr>
      <w:r w:rsidRPr="00C107F2">
        <w:rPr>
          <w:rFonts w:ascii="Times New Roman" w:hAnsi="Times New Roman" w:cs="Times New Roman"/>
        </w:rPr>
        <w:t>l'exclusion de garanties des contrats d'assurance et la modification de cotisations ou de primes d'assurance d'un individu ou d'un groupe d'individus présentant un même risque.</w:t>
      </w:r>
    </w:p>
    <w:p w14:paraId="7A99F6BF" w14:textId="40B8863E" w:rsidR="00047D81" w:rsidRPr="00C107F2" w:rsidRDefault="00047D81" w:rsidP="00E37CFE">
      <w:pPr>
        <w:pStyle w:val="Paragraphedeliste"/>
        <w:numPr>
          <w:ilvl w:val="0"/>
          <w:numId w:val="10"/>
        </w:numPr>
        <w:jc w:val="both"/>
        <w:rPr>
          <w:rFonts w:ascii="Times New Roman" w:hAnsi="Times New Roman" w:cs="Times New Roman"/>
        </w:rPr>
      </w:pPr>
      <w:r w:rsidRPr="00C107F2">
        <w:rPr>
          <w:rFonts w:ascii="Times New Roman" w:hAnsi="Times New Roman" w:cs="Times New Roman"/>
        </w:rPr>
        <w:t>Respecter le référentiel de sécurité applicable au SNDS</w:t>
      </w:r>
      <w:r w:rsidR="00ED06DB" w:rsidRPr="00C107F2">
        <w:rPr>
          <w:rFonts w:ascii="Times New Roman" w:hAnsi="Times New Roman" w:cs="Times New Roman"/>
        </w:rPr>
        <w:t xml:space="preserve"> tel que fixé par l’arrêté du</w:t>
      </w:r>
      <w:r w:rsidR="007540DE" w:rsidRPr="00C107F2">
        <w:rPr>
          <w:rFonts w:ascii="Times New Roman" w:hAnsi="Times New Roman" w:cs="Times New Roman"/>
        </w:rPr>
        <w:t xml:space="preserve"> </w:t>
      </w:r>
      <w:r w:rsidR="003B505C">
        <w:rPr>
          <w:rFonts w:ascii="Times New Roman" w:hAnsi="Times New Roman" w:cs="Times New Roman"/>
        </w:rPr>
        <w:br/>
      </w:r>
      <w:r w:rsidR="007540DE" w:rsidRPr="00C107F2">
        <w:rPr>
          <w:rFonts w:ascii="Times New Roman" w:hAnsi="Times New Roman" w:cs="Times New Roman"/>
        </w:rPr>
        <w:t>22 mars 2017</w:t>
      </w:r>
      <w:r w:rsidRPr="00C107F2">
        <w:rPr>
          <w:rFonts w:ascii="Times New Roman" w:hAnsi="Times New Roman" w:cs="Times New Roman"/>
        </w:rPr>
        <w:t> ;</w:t>
      </w:r>
    </w:p>
    <w:p w14:paraId="7F9BE4B6" w14:textId="6E412ECC" w:rsidR="00047D81" w:rsidRPr="00C107F2" w:rsidRDefault="00526E9E" w:rsidP="00E37CFE">
      <w:pPr>
        <w:pStyle w:val="Paragraphedeliste"/>
        <w:numPr>
          <w:ilvl w:val="0"/>
          <w:numId w:val="10"/>
        </w:numPr>
        <w:jc w:val="both"/>
        <w:rPr>
          <w:rFonts w:ascii="Times New Roman" w:hAnsi="Times New Roman" w:cs="Times New Roman"/>
        </w:rPr>
      </w:pPr>
      <w:r>
        <w:rPr>
          <w:rFonts w:ascii="Times New Roman" w:hAnsi="Times New Roman" w:cs="Times New Roman"/>
        </w:rPr>
        <w:lastRenderedPageBreak/>
        <w:t>S</w:t>
      </w:r>
      <w:r w:rsidRPr="00C107F2">
        <w:rPr>
          <w:rFonts w:ascii="Times New Roman" w:hAnsi="Times New Roman" w:cs="Times New Roman"/>
        </w:rPr>
        <w:t>i le demandeur appartient à la catégorie des personnes visées au II de l’art. 1461-3 du CSP</w:t>
      </w:r>
      <w:r w:rsidR="00636E0D">
        <w:rPr>
          <w:rStyle w:val="Appelnotedebasdep"/>
          <w:rFonts w:ascii="Times New Roman" w:hAnsi="Times New Roman" w:cs="Times New Roman"/>
        </w:rPr>
        <w:footnoteReference w:id="3"/>
      </w:r>
      <w:r w:rsidR="00636E0D">
        <w:rPr>
          <w:rFonts w:ascii="Times New Roman" w:hAnsi="Times New Roman" w:cs="Times New Roman"/>
        </w:rPr>
        <w:t>,</w:t>
      </w:r>
      <w:r w:rsidRPr="00C107F2">
        <w:rPr>
          <w:rFonts w:ascii="Times New Roman" w:hAnsi="Times New Roman" w:cs="Times New Roman"/>
        </w:rPr>
        <w:t xml:space="preserve"> </w:t>
      </w:r>
      <w:r w:rsidR="00636E0D">
        <w:rPr>
          <w:rFonts w:ascii="Times New Roman" w:hAnsi="Times New Roman" w:cs="Times New Roman"/>
        </w:rPr>
        <w:t>c</w:t>
      </w:r>
      <w:r w:rsidR="00047D81" w:rsidRPr="00C107F2">
        <w:rPr>
          <w:rFonts w:ascii="Times New Roman" w:hAnsi="Times New Roman" w:cs="Times New Roman"/>
        </w:rPr>
        <w:t xml:space="preserve">onfier le traitement </w:t>
      </w:r>
      <w:r w:rsidR="00636E0D">
        <w:rPr>
          <w:rFonts w:ascii="Times New Roman" w:hAnsi="Times New Roman" w:cs="Times New Roman"/>
        </w:rPr>
        <w:t>des données</w:t>
      </w:r>
      <w:r w:rsidR="00047D81" w:rsidRPr="00C107F2">
        <w:rPr>
          <w:rFonts w:ascii="Times New Roman" w:hAnsi="Times New Roman" w:cs="Times New Roman"/>
        </w:rPr>
        <w:t xml:space="preserve"> à un bureau d’études ou à un laboratoire de recherche ayant réalisé un engagement de conformité au référentiel</w:t>
      </w:r>
      <w:r w:rsidR="00344B90">
        <w:rPr>
          <w:rFonts w:ascii="Times New Roman" w:hAnsi="Times New Roman" w:cs="Times New Roman"/>
        </w:rPr>
        <w:t xml:space="preserve"> </w:t>
      </w:r>
      <w:r w:rsidR="00344B90" w:rsidRPr="00344B90">
        <w:rPr>
          <w:rFonts w:ascii="Times New Roman" w:hAnsi="Times New Roman" w:cs="Times New Roman"/>
        </w:rPr>
        <w:t xml:space="preserve">déterminant les critères de confidentialité, d’expertise et d’indépendance </w:t>
      </w:r>
      <w:r w:rsidR="00344B90">
        <w:rPr>
          <w:rFonts w:ascii="Times New Roman" w:hAnsi="Times New Roman" w:cs="Times New Roman"/>
        </w:rPr>
        <w:t xml:space="preserve">de ce type d’acteurs (arrêté du 17 juillet 2017) </w:t>
      </w:r>
      <w:r w:rsidR="00AD7237" w:rsidRPr="00C107F2">
        <w:rPr>
          <w:rFonts w:ascii="Times New Roman" w:hAnsi="Times New Roman" w:cs="Times New Roman"/>
        </w:rPr>
        <w:t>;</w:t>
      </w:r>
    </w:p>
    <w:p w14:paraId="1AA2068B" w14:textId="64401C1F" w:rsidR="00047D81" w:rsidRPr="00C107F2" w:rsidRDefault="00047D81" w:rsidP="00E37CFE">
      <w:pPr>
        <w:pStyle w:val="Paragraphedeliste"/>
        <w:numPr>
          <w:ilvl w:val="0"/>
          <w:numId w:val="10"/>
        </w:numPr>
        <w:jc w:val="both"/>
        <w:rPr>
          <w:rFonts w:ascii="Times New Roman" w:hAnsi="Times New Roman" w:cs="Times New Roman"/>
        </w:rPr>
      </w:pPr>
      <w:r w:rsidRPr="00C107F2">
        <w:rPr>
          <w:rFonts w:ascii="Times New Roman" w:hAnsi="Times New Roman" w:cs="Times New Roman"/>
        </w:rPr>
        <w:t>Satisfaire au principe de transparence</w:t>
      </w:r>
      <w:r w:rsidR="007540DE" w:rsidRPr="00C107F2">
        <w:rPr>
          <w:rFonts w:ascii="Times New Roman" w:hAnsi="Times New Roman" w:cs="Times New Roman"/>
        </w:rPr>
        <w:t xml:space="preserve"> de l’art. L. 1461-3 </w:t>
      </w:r>
      <w:r w:rsidR="007F107D" w:rsidRPr="00C107F2">
        <w:rPr>
          <w:rFonts w:ascii="Times New Roman" w:hAnsi="Times New Roman" w:cs="Times New Roman"/>
        </w:rPr>
        <w:t xml:space="preserve">II </w:t>
      </w:r>
      <w:r w:rsidR="007540DE" w:rsidRPr="00C107F2">
        <w:rPr>
          <w:rFonts w:ascii="Times New Roman" w:hAnsi="Times New Roman" w:cs="Times New Roman"/>
        </w:rPr>
        <w:t>du CSP</w:t>
      </w:r>
      <w:r w:rsidR="007F107D" w:rsidRPr="00C107F2">
        <w:rPr>
          <w:rFonts w:ascii="Times New Roman" w:hAnsi="Times New Roman" w:cs="Times New Roman"/>
        </w:rPr>
        <w:t xml:space="preserve"> en publiant la méthode et les résultats</w:t>
      </w:r>
      <w:r w:rsidR="007540DE" w:rsidRPr="00C107F2">
        <w:rPr>
          <w:rFonts w:ascii="Times New Roman" w:hAnsi="Times New Roman" w:cs="Times New Roman"/>
        </w:rPr>
        <w:t>.</w:t>
      </w:r>
      <w:r w:rsidR="00D34F5F" w:rsidRPr="00C107F2">
        <w:rPr>
          <w:rFonts w:ascii="Times New Roman" w:hAnsi="Times New Roman" w:cs="Times New Roman"/>
        </w:rPr>
        <w:t xml:space="preserve"> </w:t>
      </w:r>
    </w:p>
    <w:p w14:paraId="711D6DFD" w14:textId="77777777" w:rsidR="007540DE" w:rsidRPr="00C107F2" w:rsidRDefault="007540DE" w:rsidP="007540DE">
      <w:pPr>
        <w:jc w:val="both"/>
        <w:rPr>
          <w:rFonts w:ascii="Times New Roman" w:hAnsi="Times New Roman" w:cs="Times New Roman"/>
        </w:rPr>
      </w:pPr>
    </w:p>
    <w:p w14:paraId="11118391" w14:textId="37557994" w:rsidR="007540DE" w:rsidRPr="00491BF3" w:rsidRDefault="00536F0D" w:rsidP="00491BF3">
      <w:pPr>
        <w:pStyle w:val="Titre1"/>
        <w:numPr>
          <w:ilvl w:val="0"/>
          <w:numId w:val="9"/>
        </w:numPr>
        <w:rPr>
          <w:sz w:val="24"/>
          <w:szCs w:val="24"/>
          <w:u w:val="single"/>
        </w:rPr>
      </w:pPr>
      <w:bookmarkStart w:id="4" w:name="_Toc49433216"/>
      <w:r w:rsidRPr="00491BF3">
        <w:rPr>
          <w:sz w:val="24"/>
          <w:szCs w:val="24"/>
          <w:u w:val="single"/>
        </w:rPr>
        <w:t>Q</w:t>
      </w:r>
      <w:r w:rsidR="000B43B6" w:rsidRPr="00491BF3">
        <w:rPr>
          <w:sz w:val="24"/>
          <w:szCs w:val="24"/>
          <w:u w:val="single"/>
        </w:rPr>
        <w:t>uelles conditions doit</w:t>
      </w:r>
      <w:r w:rsidR="007540DE" w:rsidRPr="00491BF3">
        <w:rPr>
          <w:sz w:val="24"/>
          <w:szCs w:val="24"/>
          <w:u w:val="single"/>
        </w:rPr>
        <w:t xml:space="preserve"> </w:t>
      </w:r>
      <w:r w:rsidR="000B43B6" w:rsidRPr="00491BF3">
        <w:rPr>
          <w:sz w:val="24"/>
          <w:szCs w:val="24"/>
          <w:u w:val="single"/>
        </w:rPr>
        <w:t>réunir le responsable de traitement</w:t>
      </w:r>
      <w:r w:rsidR="007540DE" w:rsidRPr="00491BF3">
        <w:rPr>
          <w:sz w:val="24"/>
          <w:szCs w:val="24"/>
          <w:u w:val="single"/>
        </w:rPr>
        <w:t xml:space="preserve"> </w:t>
      </w:r>
      <w:r w:rsidR="00DB555E" w:rsidRPr="00491BF3">
        <w:rPr>
          <w:sz w:val="24"/>
          <w:szCs w:val="24"/>
          <w:u w:val="single"/>
        </w:rPr>
        <w:t xml:space="preserve">pour bénéficier </w:t>
      </w:r>
      <w:r w:rsidR="00C601B6" w:rsidRPr="00491BF3">
        <w:rPr>
          <w:sz w:val="24"/>
          <w:szCs w:val="24"/>
          <w:u w:val="single"/>
        </w:rPr>
        <w:t>de la procédure simplifiée</w:t>
      </w:r>
      <w:r w:rsidR="00DB555E" w:rsidRPr="00491BF3">
        <w:rPr>
          <w:sz w:val="24"/>
          <w:szCs w:val="24"/>
          <w:u w:val="single"/>
        </w:rPr>
        <w:t xml:space="preserve"> d’accès aux données</w:t>
      </w:r>
      <w:r w:rsidRPr="00491BF3">
        <w:rPr>
          <w:sz w:val="24"/>
          <w:szCs w:val="24"/>
          <w:u w:val="single"/>
        </w:rPr>
        <w:t xml:space="preserve"> </w:t>
      </w:r>
      <w:r w:rsidR="00DB555E" w:rsidRPr="00491BF3">
        <w:rPr>
          <w:sz w:val="24"/>
          <w:szCs w:val="24"/>
          <w:u w:val="single"/>
        </w:rPr>
        <w:t>de l’EGB ?</w:t>
      </w:r>
      <w:bookmarkEnd w:id="4"/>
    </w:p>
    <w:p w14:paraId="67F10081" w14:textId="77777777" w:rsidR="00C601B6" w:rsidRPr="00C107F2" w:rsidRDefault="00C601B6" w:rsidP="007540DE">
      <w:pPr>
        <w:jc w:val="both"/>
        <w:rPr>
          <w:rFonts w:ascii="Times New Roman" w:hAnsi="Times New Roman" w:cs="Times New Roman"/>
          <w:u w:val="single"/>
        </w:rPr>
      </w:pPr>
    </w:p>
    <w:p w14:paraId="23AD42DC" w14:textId="130A83AA" w:rsidR="00C601B6" w:rsidRDefault="00C601B6" w:rsidP="007540DE">
      <w:pPr>
        <w:jc w:val="both"/>
        <w:rPr>
          <w:rFonts w:ascii="Times New Roman" w:hAnsi="Times New Roman" w:cs="Times New Roman"/>
        </w:rPr>
      </w:pPr>
      <w:r w:rsidRPr="00C107F2">
        <w:rPr>
          <w:rFonts w:ascii="Times New Roman" w:hAnsi="Times New Roman" w:cs="Times New Roman"/>
        </w:rPr>
        <w:t xml:space="preserve">L’accès </w:t>
      </w:r>
      <w:r w:rsidR="00234D33" w:rsidRPr="00C107F2">
        <w:rPr>
          <w:rFonts w:ascii="Times New Roman" w:hAnsi="Times New Roman" w:cs="Times New Roman"/>
        </w:rPr>
        <w:t>aux</w:t>
      </w:r>
      <w:r w:rsidRPr="00C107F2">
        <w:rPr>
          <w:rFonts w:ascii="Times New Roman" w:hAnsi="Times New Roman" w:cs="Times New Roman"/>
        </w:rPr>
        <w:t xml:space="preserve"> données de l’EGB via la procédure simplifiée est soumis à 5 conditions cumulatives :</w:t>
      </w:r>
    </w:p>
    <w:p w14:paraId="5DD1F90A" w14:textId="77777777" w:rsidR="008F1AF0" w:rsidRPr="00C107F2" w:rsidRDefault="008F1AF0" w:rsidP="007540DE">
      <w:pPr>
        <w:jc w:val="both"/>
        <w:rPr>
          <w:rFonts w:ascii="Times New Roman" w:hAnsi="Times New Roman" w:cs="Times New Roman"/>
        </w:rPr>
      </w:pPr>
    </w:p>
    <w:p w14:paraId="48EABE46" w14:textId="77777777" w:rsidR="00C601B6" w:rsidRPr="00C107F2" w:rsidRDefault="00C601B6" w:rsidP="00E37CFE">
      <w:pPr>
        <w:pStyle w:val="Paragraphedeliste"/>
        <w:numPr>
          <w:ilvl w:val="0"/>
          <w:numId w:val="12"/>
        </w:numPr>
        <w:jc w:val="both"/>
        <w:rPr>
          <w:rFonts w:ascii="Times New Roman" w:hAnsi="Times New Roman" w:cs="Times New Roman"/>
        </w:rPr>
      </w:pPr>
      <w:r w:rsidRPr="00C107F2">
        <w:rPr>
          <w:rFonts w:ascii="Times New Roman" w:hAnsi="Times New Roman" w:cs="Times New Roman"/>
        </w:rPr>
        <w:t>La finalité d’intérêt public</w:t>
      </w:r>
      <w:r w:rsidR="00D34F5F" w:rsidRPr="00C107F2">
        <w:rPr>
          <w:rFonts w:ascii="Times New Roman" w:hAnsi="Times New Roman" w:cs="Times New Roman"/>
        </w:rPr>
        <w:t xml:space="preserve"> de la recherche, de l’étude ou de l’évaluation considérée</w:t>
      </w:r>
      <w:r w:rsidRPr="00C107F2">
        <w:rPr>
          <w:rFonts w:ascii="Times New Roman" w:hAnsi="Times New Roman" w:cs="Times New Roman"/>
        </w:rPr>
        <w:t> ;</w:t>
      </w:r>
    </w:p>
    <w:p w14:paraId="709260CA" w14:textId="77777777" w:rsidR="00C601B6" w:rsidRPr="00C107F2" w:rsidRDefault="00D34F5F" w:rsidP="00E37CFE">
      <w:pPr>
        <w:pStyle w:val="Paragraphedeliste"/>
        <w:numPr>
          <w:ilvl w:val="0"/>
          <w:numId w:val="12"/>
        </w:numPr>
        <w:jc w:val="both"/>
        <w:rPr>
          <w:rFonts w:ascii="Times New Roman" w:hAnsi="Times New Roman" w:cs="Times New Roman"/>
        </w:rPr>
      </w:pPr>
      <w:r w:rsidRPr="00C107F2">
        <w:rPr>
          <w:rFonts w:ascii="Times New Roman" w:hAnsi="Times New Roman" w:cs="Times New Roman"/>
        </w:rPr>
        <w:t>La pertinence scientifique du projet ;</w:t>
      </w:r>
    </w:p>
    <w:p w14:paraId="3A980BA9" w14:textId="77777777" w:rsidR="00D34F5F" w:rsidRPr="00C107F2" w:rsidRDefault="00D34F5F" w:rsidP="00E37CFE">
      <w:pPr>
        <w:pStyle w:val="Paragraphedeliste"/>
        <w:numPr>
          <w:ilvl w:val="0"/>
          <w:numId w:val="12"/>
        </w:numPr>
        <w:jc w:val="both"/>
        <w:rPr>
          <w:rFonts w:ascii="Times New Roman" w:hAnsi="Times New Roman" w:cs="Times New Roman"/>
        </w:rPr>
      </w:pPr>
      <w:r w:rsidRPr="00C107F2">
        <w:rPr>
          <w:rFonts w:ascii="Times New Roman" w:hAnsi="Times New Roman" w:cs="Times New Roman"/>
        </w:rPr>
        <w:t>L’absence de croisement d’identifiants potentiels ;</w:t>
      </w:r>
    </w:p>
    <w:p w14:paraId="760429FC" w14:textId="2AFFAB03" w:rsidR="00D34F5F" w:rsidRPr="00C107F2" w:rsidRDefault="00D34F5F" w:rsidP="00E37CFE">
      <w:pPr>
        <w:pStyle w:val="Paragraphedeliste"/>
        <w:numPr>
          <w:ilvl w:val="0"/>
          <w:numId w:val="12"/>
        </w:numPr>
        <w:jc w:val="both"/>
        <w:rPr>
          <w:rFonts w:ascii="Times New Roman" w:hAnsi="Times New Roman" w:cs="Times New Roman"/>
        </w:rPr>
      </w:pPr>
      <w:r w:rsidRPr="00C107F2">
        <w:rPr>
          <w:rFonts w:ascii="Times New Roman" w:hAnsi="Times New Roman" w:cs="Times New Roman"/>
        </w:rPr>
        <w:t>Le respect des exigences relatives au référentiel de sécurité applicable au SNDS</w:t>
      </w:r>
      <w:r w:rsidR="004F3D27" w:rsidRPr="00C107F2">
        <w:rPr>
          <w:rFonts w:ascii="Times New Roman" w:hAnsi="Times New Roman" w:cs="Times New Roman"/>
        </w:rPr>
        <w:t>, notamment en traitant les données issues de l’EGB sur le portail de la CNAM</w:t>
      </w:r>
      <w:r w:rsidRPr="00C107F2">
        <w:rPr>
          <w:rFonts w:ascii="Times New Roman" w:hAnsi="Times New Roman" w:cs="Times New Roman"/>
        </w:rPr>
        <w:t> ;</w:t>
      </w:r>
    </w:p>
    <w:p w14:paraId="18CB8F5A" w14:textId="45529EB3" w:rsidR="00CD03B5" w:rsidRPr="00C22B09" w:rsidRDefault="00D34F5F" w:rsidP="00E37CFE">
      <w:pPr>
        <w:pStyle w:val="Paragraphedeliste"/>
        <w:numPr>
          <w:ilvl w:val="0"/>
          <w:numId w:val="12"/>
        </w:numPr>
        <w:jc w:val="both"/>
        <w:rPr>
          <w:rFonts w:ascii="Times New Roman" w:hAnsi="Times New Roman" w:cs="Times New Roman"/>
          <w:highlight w:val="yellow"/>
        </w:rPr>
      </w:pPr>
      <w:r w:rsidRPr="00C22B09">
        <w:rPr>
          <w:rFonts w:ascii="Times New Roman" w:hAnsi="Times New Roman" w:cs="Times New Roman"/>
          <w:highlight w:val="yellow"/>
        </w:rPr>
        <w:t>Une durée d’accès au portail strictement limité</w:t>
      </w:r>
      <w:r w:rsidR="002C45F2" w:rsidRPr="00C22B09">
        <w:rPr>
          <w:rFonts w:ascii="Times New Roman" w:hAnsi="Times New Roman" w:cs="Times New Roman"/>
          <w:highlight w:val="yellow"/>
        </w:rPr>
        <w:t>e</w:t>
      </w:r>
      <w:r w:rsidRPr="00C22B09">
        <w:rPr>
          <w:rFonts w:ascii="Times New Roman" w:hAnsi="Times New Roman" w:cs="Times New Roman"/>
          <w:highlight w:val="yellow"/>
        </w:rPr>
        <w:t xml:space="preserve"> au temps nécessaire pour la réalisation de la recherche, de l’étude ou de l’évaluation considérée</w:t>
      </w:r>
      <w:r w:rsidR="00C22B09" w:rsidRPr="00C22B09">
        <w:rPr>
          <w:rFonts w:ascii="Times New Roman" w:hAnsi="Times New Roman" w:cs="Times New Roman"/>
          <w:highlight w:val="yellow"/>
        </w:rPr>
        <w:t>, soit pour une durée de</w:t>
      </w:r>
      <w:r w:rsidR="00CE7B85" w:rsidRPr="00C22B09">
        <w:rPr>
          <w:rFonts w:ascii="Times New Roman" w:hAnsi="Times New Roman" w:cs="Times New Roman"/>
          <w:highlight w:val="yellow"/>
        </w:rPr>
        <w:t xml:space="preserve"> 2 ans</w:t>
      </w:r>
      <w:r w:rsidR="00C22B09" w:rsidRPr="00C22B09">
        <w:rPr>
          <w:rFonts w:ascii="Times New Roman" w:hAnsi="Times New Roman" w:cs="Times New Roman"/>
          <w:highlight w:val="yellow"/>
        </w:rPr>
        <w:t xml:space="preserve"> avec la possibilité d’une prolongation sur justification</w:t>
      </w:r>
      <w:r w:rsidR="00CE7B85" w:rsidRPr="00C22B09">
        <w:rPr>
          <w:rFonts w:ascii="Times New Roman" w:hAnsi="Times New Roman" w:cs="Times New Roman"/>
          <w:highlight w:val="yellow"/>
        </w:rPr>
        <w:t>.</w:t>
      </w:r>
    </w:p>
    <w:p w14:paraId="495392B0" w14:textId="77777777" w:rsidR="003C32EF" w:rsidRPr="00C107F2" w:rsidRDefault="003C32EF" w:rsidP="00CD03B5">
      <w:pPr>
        <w:jc w:val="both"/>
        <w:rPr>
          <w:rFonts w:ascii="Times New Roman" w:hAnsi="Times New Roman" w:cs="Times New Roman"/>
        </w:rPr>
      </w:pPr>
    </w:p>
    <w:p w14:paraId="262F529D" w14:textId="5AD732FE" w:rsidR="006C6225" w:rsidRPr="00491BF3" w:rsidRDefault="00CD03B5" w:rsidP="00491BF3">
      <w:pPr>
        <w:pStyle w:val="Titre1"/>
        <w:numPr>
          <w:ilvl w:val="0"/>
          <w:numId w:val="9"/>
        </w:numPr>
        <w:rPr>
          <w:sz w:val="24"/>
          <w:szCs w:val="24"/>
          <w:u w:val="single"/>
        </w:rPr>
      </w:pPr>
      <w:bookmarkStart w:id="5" w:name="_Toc49433217"/>
      <w:r w:rsidRPr="00491BF3">
        <w:rPr>
          <w:sz w:val="24"/>
          <w:szCs w:val="24"/>
          <w:u w:val="single"/>
        </w:rPr>
        <w:t xml:space="preserve">Quelles pièces </w:t>
      </w:r>
      <w:r w:rsidR="000B43B6" w:rsidRPr="00491BF3">
        <w:rPr>
          <w:sz w:val="24"/>
          <w:szCs w:val="24"/>
          <w:u w:val="single"/>
        </w:rPr>
        <w:t>doit fournir le responsable de traitement</w:t>
      </w:r>
      <w:r w:rsidR="003C32EF" w:rsidRPr="00491BF3">
        <w:rPr>
          <w:sz w:val="24"/>
          <w:szCs w:val="24"/>
          <w:u w:val="single"/>
        </w:rPr>
        <w:t xml:space="preserve"> </w:t>
      </w:r>
      <w:r w:rsidR="0007518A" w:rsidRPr="00491BF3">
        <w:rPr>
          <w:sz w:val="24"/>
          <w:szCs w:val="24"/>
          <w:u w:val="single"/>
        </w:rPr>
        <w:t>dans le cadre d’une demande d’accès aux données de l’EGB par la procédure simplifiée</w:t>
      </w:r>
      <w:r w:rsidR="008B7211" w:rsidRPr="00491BF3">
        <w:rPr>
          <w:sz w:val="24"/>
          <w:szCs w:val="24"/>
          <w:u w:val="single"/>
        </w:rPr>
        <w:t xml:space="preserve"> </w:t>
      </w:r>
      <w:r w:rsidR="003C32EF" w:rsidRPr="00491BF3">
        <w:rPr>
          <w:sz w:val="24"/>
          <w:szCs w:val="24"/>
          <w:u w:val="single"/>
        </w:rPr>
        <w:t>?</w:t>
      </w:r>
      <w:bookmarkEnd w:id="5"/>
    </w:p>
    <w:p w14:paraId="0081215D" w14:textId="77777777" w:rsidR="003C32EF" w:rsidRPr="00C107F2" w:rsidRDefault="003C32EF" w:rsidP="006C6225">
      <w:pPr>
        <w:jc w:val="both"/>
        <w:rPr>
          <w:rFonts w:ascii="Times New Roman" w:hAnsi="Times New Roman" w:cs="Times New Roman"/>
        </w:rPr>
      </w:pPr>
    </w:p>
    <w:p w14:paraId="5251C411" w14:textId="70266D6A" w:rsidR="002C45F2" w:rsidRDefault="003C32EF" w:rsidP="006C6225">
      <w:pPr>
        <w:jc w:val="both"/>
        <w:rPr>
          <w:rFonts w:ascii="Times New Roman" w:hAnsi="Times New Roman" w:cs="Times New Roman"/>
        </w:rPr>
      </w:pPr>
      <w:r w:rsidRPr="00C107F2">
        <w:rPr>
          <w:rFonts w:ascii="Times New Roman" w:hAnsi="Times New Roman" w:cs="Times New Roman"/>
        </w:rPr>
        <w:t xml:space="preserve">Les pièces constitutives </w:t>
      </w:r>
      <w:r w:rsidR="000B43B6" w:rsidRPr="00C107F2">
        <w:rPr>
          <w:rFonts w:ascii="Times New Roman" w:hAnsi="Times New Roman" w:cs="Times New Roman"/>
        </w:rPr>
        <w:t>sont, d’abord,</w:t>
      </w:r>
      <w:r w:rsidRPr="00C107F2">
        <w:rPr>
          <w:rFonts w:ascii="Times New Roman" w:hAnsi="Times New Roman" w:cs="Times New Roman"/>
        </w:rPr>
        <w:t xml:space="preserve"> celles </w:t>
      </w:r>
      <w:r w:rsidR="00536F0D" w:rsidRPr="00C107F2">
        <w:rPr>
          <w:rFonts w:ascii="Times New Roman" w:hAnsi="Times New Roman" w:cs="Times New Roman"/>
        </w:rPr>
        <w:t>qui sont demandées</w:t>
      </w:r>
      <w:r w:rsidRPr="00C107F2">
        <w:rPr>
          <w:rFonts w:ascii="Times New Roman" w:hAnsi="Times New Roman" w:cs="Times New Roman"/>
        </w:rPr>
        <w:t xml:space="preserve"> </w:t>
      </w:r>
      <w:r w:rsidR="00536F0D" w:rsidRPr="00C107F2">
        <w:rPr>
          <w:rFonts w:ascii="Times New Roman" w:hAnsi="Times New Roman" w:cs="Times New Roman"/>
        </w:rPr>
        <w:t xml:space="preserve">dans le cadre de la procédure </w:t>
      </w:r>
      <w:r w:rsidRPr="00C107F2">
        <w:rPr>
          <w:rFonts w:ascii="Times New Roman" w:hAnsi="Times New Roman" w:cs="Times New Roman"/>
        </w:rPr>
        <w:t>classique</w:t>
      </w:r>
      <w:r w:rsidR="00600A10">
        <w:rPr>
          <w:rFonts w:ascii="Times New Roman" w:hAnsi="Times New Roman" w:cs="Times New Roman"/>
        </w:rPr>
        <w:t>, selon les formats arrêtés</w:t>
      </w:r>
      <w:r w:rsidR="00536F0D" w:rsidRPr="00C107F2">
        <w:rPr>
          <w:rFonts w:ascii="Times New Roman" w:hAnsi="Times New Roman" w:cs="Times New Roman"/>
        </w:rPr>
        <w:t xml:space="preserve"> : </w:t>
      </w:r>
    </w:p>
    <w:p w14:paraId="1CFB4E15" w14:textId="77777777" w:rsidR="008F1AF0" w:rsidRPr="00C107F2" w:rsidRDefault="008F1AF0" w:rsidP="006C6225">
      <w:pPr>
        <w:jc w:val="both"/>
        <w:rPr>
          <w:rFonts w:ascii="Times New Roman" w:hAnsi="Times New Roman" w:cs="Times New Roman"/>
        </w:rPr>
      </w:pPr>
    </w:p>
    <w:p w14:paraId="3EFA624C" w14:textId="0A1520FB" w:rsidR="002C45F2" w:rsidRPr="00E37CFE" w:rsidRDefault="00682772" w:rsidP="00E37CFE">
      <w:pPr>
        <w:pStyle w:val="Paragraphedeliste"/>
        <w:numPr>
          <w:ilvl w:val="0"/>
          <w:numId w:val="13"/>
        </w:numPr>
        <w:jc w:val="both"/>
        <w:rPr>
          <w:rFonts w:ascii="Times New Roman" w:hAnsi="Times New Roman" w:cs="Times New Roman"/>
        </w:rPr>
      </w:pPr>
      <w:r w:rsidRPr="00E37CFE">
        <w:rPr>
          <w:rFonts w:ascii="Times New Roman" w:hAnsi="Times New Roman" w:cs="Times New Roman"/>
        </w:rPr>
        <w:t>Un protocole de l’étude envisagée ;</w:t>
      </w:r>
    </w:p>
    <w:p w14:paraId="5F1EDCAC" w14:textId="4EC7A23E" w:rsidR="002C45F2" w:rsidRPr="00E37CFE" w:rsidRDefault="00682772" w:rsidP="00E37CFE">
      <w:pPr>
        <w:pStyle w:val="Paragraphedeliste"/>
        <w:numPr>
          <w:ilvl w:val="0"/>
          <w:numId w:val="13"/>
        </w:numPr>
        <w:jc w:val="both"/>
        <w:rPr>
          <w:rFonts w:ascii="Times New Roman" w:hAnsi="Times New Roman" w:cs="Times New Roman"/>
        </w:rPr>
      </w:pPr>
      <w:r w:rsidRPr="001C6F3D">
        <w:rPr>
          <w:rFonts w:ascii="Times New Roman" w:hAnsi="Times New Roman" w:cs="Times New Roman"/>
          <w:i/>
          <w:color w:val="4472C4" w:themeColor="accent1"/>
        </w:rPr>
        <w:t>U</w:t>
      </w:r>
      <w:r w:rsidR="00536F0D" w:rsidRPr="001C6F3D">
        <w:rPr>
          <w:rFonts w:ascii="Times New Roman" w:hAnsi="Times New Roman" w:cs="Times New Roman"/>
          <w:i/>
          <w:color w:val="4472C4" w:themeColor="accent1"/>
        </w:rPr>
        <w:t>n résumé</w:t>
      </w:r>
      <w:r w:rsidRPr="001C6F3D">
        <w:rPr>
          <w:rFonts w:ascii="Times New Roman" w:hAnsi="Times New Roman" w:cs="Times New Roman"/>
          <w:color w:val="4472C4" w:themeColor="accent1"/>
        </w:rPr>
        <w:t xml:space="preserve"> </w:t>
      </w:r>
      <w:r w:rsidRPr="00E37CFE">
        <w:rPr>
          <w:rFonts w:ascii="Times New Roman" w:hAnsi="Times New Roman" w:cs="Times New Roman"/>
        </w:rPr>
        <w:t>de cette dernière</w:t>
      </w:r>
      <w:r w:rsidR="001C6F3D">
        <w:rPr>
          <w:rFonts w:ascii="Times New Roman" w:hAnsi="Times New Roman" w:cs="Times New Roman"/>
        </w:rPr>
        <w:t xml:space="preserve"> </w:t>
      </w:r>
      <w:r w:rsidRPr="00E37CFE">
        <w:rPr>
          <w:rFonts w:ascii="Times New Roman" w:hAnsi="Times New Roman" w:cs="Times New Roman"/>
        </w:rPr>
        <w:t>;</w:t>
      </w:r>
      <w:r w:rsidR="00536F0D" w:rsidRPr="00E37CFE">
        <w:rPr>
          <w:rFonts w:ascii="Times New Roman" w:hAnsi="Times New Roman" w:cs="Times New Roman"/>
        </w:rPr>
        <w:t xml:space="preserve"> </w:t>
      </w:r>
    </w:p>
    <w:p w14:paraId="1012967C" w14:textId="20D47ABD" w:rsidR="008F1AF0" w:rsidRPr="00E37CFE" w:rsidRDefault="00682772" w:rsidP="00E37CFE">
      <w:pPr>
        <w:pStyle w:val="Paragraphedeliste"/>
        <w:numPr>
          <w:ilvl w:val="0"/>
          <w:numId w:val="13"/>
        </w:numPr>
        <w:jc w:val="both"/>
        <w:rPr>
          <w:rFonts w:ascii="Times New Roman" w:hAnsi="Times New Roman" w:cs="Times New Roman"/>
        </w:rPr>
      </w:pPr>
      <w:r w:rsidRPr="00E37CFE">
        <w:rPr>
          <w:rFonts w:ascii="Times New Roman" w:hAnsi="Times New Roman" w:cs="Times New Roman"/>
        </w:rPr>
        <w:t>L</w:t>
      </w:r>
      <w:r w:rsidR="002C45F2" w:rsidRPr="00E37CFE">
        <w:rPr>
          <w:rFonts w:ascii="Times New Roman" w:hAnsi="Times New Roman" w:cs="Times New Roman"/>
        </w:rPr>
        <w:t xml:space="preserve">es </w:t>
      </w:r>
      <w:r w:rsidR="00536F0D" w:rsidRPr="00E37CFE">
        <w:rPr>
          <w:rFonts w:ascii="Times New Roman" w:hAnsi="Times New Roman" w:cs="Times New Roman"/>
        </w:rPr>
        <w:t>déclaration</w:t>
      </w:r>
      <w:r w:rsidR="002C45F2" w:rsidRPr="00E37CFE">
        <w:rPr>
          <w:rFonts w:ascii="Times New Roman" w:hAnsi="Times New Roman" w:cs="Times New Roman"/>
        </w:rPr>
        <w:t>s</w:t>
      </w:r>
      <w:r w:rsidR="00536F0D" w:rsidRPr="00E37CFE">
        <w:rPr>
          <w:rFonts w:ascii="Times New Roman" w:hAnsi="Times New Roman" w:cs="Times New Roman"/>
        </w:rPr>
        <w:t xml:space="preserve"> d</w:t>
      </w:r>
      <w:r w:rsidR="002C45F2" w:rsidRPr="00E37CFE">
        <w:rPr>
          <w:rFonts w:ascii="Times New Roman" w:hAnsi="Times New Roman" w:cs="Times New Roman"/>
        </w:rPr>
        <w:t xml:space="preserve">es </w:t>
      </w:r>
      <w:r w:rsidR="00536F0D" w:rsidRPr="00E37CFE">
        <w:rPr>
          <w:rFonts w:ascii="Times New Roman" w:hAnsi="Times New Roman" w:cs="Times New Roman"/>
        </w:rPr>
        <w:t>intérêts</w:t>
      </w:r>
      <w:r w:rsidR="002C45F2" w:rsidRPr="00E37CFE">
        <w:rPr>
          <w:rFonts w:ascii="Times New Roman" w:hAnsi="Times New Roman" w:cs="Times New Roman"/>
        </w:rPr>
        <w:t xml:space="preserve"> du responsable de traitement et du responsable de mise en œuvr</w:t>
      </w:r>
      <w:r w:rsidR="008F1AF0" w:rsidRPr="00E37CFE">
        <w:rPr>
          <w:rFonts w:ascii="Times New Roman" w:hAnsi="Times New Roman" w:cs="Times New Roman"/>
        </w:rPr>
        <w:t>e</w:t>
      </w:r>
      <w:r w:rsidR="002202F5" w:rsidRPr="00E37CFE">
        <w:rPr>
          <w:rFonts w:ascii="Times New Roman" w:hAnsi="Times New Roman" w:cs="Times New Roman"/>
        </w:rPr>
        <w:t>.</w:t>
      </w:r>
    </w:p>
    <w:p w14:paraId="32BC8196" w14:textId="77777777" w:rsidR="002C45F2" w:rsidRPr="00C107F2" w:rsidRDefault="002C45F2" w:rsidP="00C107F2">
      <w:pPr>
        <w:jc w:val="both"/>
        <w:rPr>
          <w:rFonts w:ascii="Times New Roman" w:hAnsi="Times New Roman" w:cs="Times New Roman"/>
        </w:rPr>
      </w:pPr>
    </w:p>
    <w:p w14:paraId="74E99578" w14:textId="670C9B9E" w:rsidR="003C32EF" w:rsidRDefault="000B43B6" w:rsidP="002C45F2">
      <w:pPr>
        <w:jc w:val="both"/>
        <w:rPr>
          <w:rFonts w:ascii="Times New Roman" w:hAnsi="Times New Roman" w:cs="Times New Roman"/>
        </w:rPr>
      </w:pPr>
      <w:r w:rsidRPr="00C107F2">
        <w:rPr>
          <w:rFonts w:ascii="Times New Roman" w:hAnsi="Times New Roman" w:cs="Times New Roman"/>
        </w:rPr>
        <w:t>Toutefois, u</w:t>
      </w:r>
      <w:r w:rsidR="002C45F2" w:rsidRPr="00C107F2">
        <w:rPr>
          <w:rFonts w:ascii="Times New Roman" w:hAnsi="Times New Roman" w:cs="Times New Roman"/>
        </w:rPr>
        <w:t>ne pièce supplémentaire</w:t>
      </w:r>
      <w:r w:rsidR="00536F0D" w:rsidRPr="00C107F2">
        <w:rPr>
          <w:rFonts w:ascii="Times New Roman" w:hAnsi="Times New Roman" w:cs="Times New Roman"/>
        </w:rPr>
        <w:t> </w:t>
      </w:r>
      <w:r w:rsidR="002C45F2" w:rsidRPr="00C107F2">
        <w:rPr>
          <w:rFonts w:ascii="Times New Roman" w:hAnsi="Times New Roman" w:cs="Times New Roman"/>
        </w:rPr>
        <w:t xml:space="preserve">est demandée pour répondre à l’exigence de pertinence scientifique du projet : </w:t>
      </w:r>
      <w:r w:rsidR="00431EA3" w:rsidRPr="00C107F2">
        <w:rPr>
          <w:rFonts w:ascii="Times New Roman" w:hAnsi="Times New Roman" w:cs="Times New Roman"/>
        </w:rPr>
        <w:t xml:space="preserve">une </w:t>
      </w:r>
      <w:r w:rsidR="00C02CB1">
        <w:rPr>
          <w:rFonts w:ascii="Times New Roman" w:hAnsi="Times New Roman" w:cs="Times New Roman"/>
        </w:rPr>
        <w:t>évaluation</w:t>
      </w:r>
      <w:r w:rsidR="00C02CB1" w:rsidRPr="00C107F2">
        <w:rPr>
          <w:rFonts w:ascii="Times New Roman" w:hAnsi="Times New Roman" w:cs="Times New Roman"/>
        </w:rPr>
        <w:t xml:space="preserve"> </w:t>
      </w:r>
      <w:r w:rsidR="00431EA3" w:rsidRPr="00C107F2">
        <w:rPr>
          <w:rFonts w:ascii="Times New Roman" w:hAnsi="Times New Roman" w:cs="Times New Roman"/>
        </w:rPr>
        <w:t xml:space="preserve">réalisée par un </w:t>
      </w:r>
      <w:r w:rsidR="002C45F2" w:rsidRPr="00C107F2">
        <w:rPr>
          <w:rFonts w:ascii="Times New Roman" w:hAnsi="Times New Roman" w:cs="Times New Roman"/>
        </w:rPr>
        <w:t>groupe d</w:t>
      </w:r>
      <w:r w:rsidR="008F1AF0">
        <w:rPr>
          <w:rFonts w:ascii="Times New Roman" w:hAnsi="Times New Roman" w:cs="Times New Roman"/>
        </w:rPr>
        <w:t xml:space="preserve">e 3 </w:t>
      </w:r>
      <w:r w:rsidR="002C45F2" w:rsidRPr="00C107F2">
        <w:rPr>
          <w:rFonts w:ascii="Times New Roman" w:hAnsi="Times New Roman" w:cs="Times New Roman"/>
        </w:rPr>
        <w:t>experts</w:t>
      </w:r>
      <w:r w:rsidR="00431EA3" w:rsidRPr="00C107F2">
        <w:rPr>
          <w:rFonts w:ascii="Times New Roman" w:hAnsi="Times New Roman" w:cs="Times New Roman"/>
        </w:rPr>
        <w:t xml:space="preserve"> </w:t>
      </w:r>
      <w:r w:rsidR="002C45F2" w:rsidRPr="00C107F2">
        <w:rPr>
          <w:rFonts w:ascii="Times New Roman" w:hAnsi="Times New Roman" w:cs="Times New Roman"/>
        </w:rPr>
        <w:t>extérieur</w:t>
      </w:r>
      <w:r w:rsidR="008F1AF0">
        <w:rPr>
          <w:rFonts w:ascii="Times New Roman" w:hAnsi="Times New Roman" w:cs="Times New Roman"/>
        </w:rPr>
        <w:t>s</w:t>
      </w:r>
      <w:r w:rsidR="002C45F2" w:rsidRPr="00C107F2">
        <w:rPr>
          <w:rFonts w:ascii="Times New Roman" w:hAnsi="Times New Roman" w:cs="Times New Roman"/>
        </w:rPr>
        <w:t xml:space="preserve"> au</w:t>
      </w:r>
      <w:r w:rsidR="00621237" w:rsidRPr="00C107F2">
        <w:rPr>
          <w:rFonts w:ascii="Times New Roman" w:hAnsi="Times New Roman" w:cs="Times New Roman"/>
        </w:rPr>
        <w:t xml:space="preserve"> </w:t>
      </w:r>
      <w:r w:rsidR="002202F5">
        <w:rPr>
          <w:rFonts w:ascii="Times New Roman" w:hAnsi="Times New Roman" w:cs="Times New Roman"/>
        </w:rPr>
        <w:t>responsable de traitement</w:t>
      </w:r>
      <w:r w:rsidR="0007518A" w:rsidRPr="00C107F2">
        <w:rPr>
          <w:rFonts w:ascii="Times New Roman" w:hAnsi="Times New Roman" w:cs="Times New Roman"/>
        </w:rPr>
        <w:t xml:space="preserve"> issus d</w:t>
      </w:r>
      <w:r w:rsidR="00621237" w:rsidRPr="00C107F2">
        <w:rPr>
          <w:rFonts w:ascii="Times New Roman" w:hAnsi="Times New Roman" w:cs="Times New Roman"/>
        </w:rPr>
        <w:t>’au moins deux</w:t>
      </w:r>
      <w:r w:rsidR="0007518A" w:rsidRPr="00C107F2">
        <w:rPr>
          <w:rFonts w:ascii="Times New Roman" w:hAnsi="Times New Roman" w:cs="Times New Roman"/>
        </w:rPr>
        <w:t xml:space="preserve"> spécialités différentes.</w:t>
      </w:r>
    </w:p>
    <w:p w14:paraId="0F346EB0" w14:textId="77777777" w:rsidR="008F1AF0" w:rsidRDefault="008F1AF0" w:rsidP="002C45F2">
      <w:pPr>
        <w:jc w:val="both"/>
        <w:rPr>
          <w:rFonts w:ascii="Times New Roman" w:hAnsi="Times New Roman" w:cs="Times New Roman"/>
        </w:rPr>
      </w:pPr>
    </w:p>
    <w:p w14:paraId="1A6A69E3" w14:textId="4BE0BC74" w:rsidR="00330655" w:rsidRPr="00FA7E63" w:rsidRDefault="00330655" w:rsidP="00330655">
      <w:pPr>
        <w:jc w:val="both"/>
        <w:rPr>
          <w:rFonts w:ascii="Times New Roman" w:hAnsi="Times New Roman" w:cs="Times New Roman"/>
          <w:color w:val="FFC000"/>
          <w:u w:val="single"/>
        </w:rPr>
      </w:pPr>
      <w:r>
        <w:rPr>
          <w:rFonts w:ascii="Times New Roman" w:hAnsi="Times New Roman" w:cs="Times New Roman"/>
          <w:color w:val="FFC000"/>
          <w:u w:val="single"/>
        </w:rPr>
        <w:t>Point de vigilance</w:t>
      </w:r>
      <w:r w:rsidRPr="00FA7E63">
        <w:rPr>
          <w:rFonts w:ascii="Times New Roman" w:hAnsi="Times New Roman" w:cs="Times New Roman"/>
          <w:color w:val="FFC000"/>
          <w:u w:val="single"/>
        </w:rPr>
        <w:t xml:space="preserve"> :</w:t>
      </w:r>
    </w:p>
    <w:p w14:paraId="7B999EA1" w14:textId="51D7FADA" w:rsidR="003A2921" w:rsidRDefault="00330655" w:rsidP="00491BF3">
      <w:pPr>
        <w:pStyle w:val="Paragraphedeliste"/>
        <w:ind w:left="1985"/>
        <w:jc w:val="both"/>
        <w:rPr>
          <w:rFonts w:ascii="Times New Roman" w:hAnsi="Times New Roman" w:cs="Times New Roman"/>
        </w:rPr>
      </w:pPr>
      <w:r>
        <w:rPr>
          <w:rFonts w:ascii="Times New Roman" w:hAnsi="Times New Roman" w:cs="Times New Roman"/>
        </w:rPr>
        <w:t xml:space="preserve">La </w:t>
      </w:r>
      <w:r w:rsidR="008F1AF0">
        <w:rPr>
          <w:rFonts w:ascii="Times New Roman" w:hAnsi="Times New Roman" w:cs="Times New Roman"/>
        </w:rPr>
        <w:t xml:space="preserve">demande d’autorisation CNIL signée n’est pas exigée au moment du dépôt du dossier dans le cadre de cette procédure. En cas de transmission </w:t>
      </w:r>
      <w:r w:rsidR="008F1AF0">
        <w:rPr>
          <w:rFonts w:ascii="Times New Roman" w:hAnsi="Times New Roman" w:cs="Times New Roman"/>
        </w:rPr>
        <w:lastRenderedPageBreak/>
        <w:t>du dossier dans la procédure classique, cette pièce devra en revanche être fournie dans les meilleurs délais.</w:t>
      </w:r>
    </w:p>
    <w:p w14:paraId="65BF5B27" w14:textId="77777777" w:rsidR="003A2921" w:rsidRPr="00FA7E63" w:rsidRDefault="003A2921" w:rsidP="003A2921">
      <w:pPr>
        <w:ind w:left="1843"/>
        <w:jc w:val="both"/>
        <w:rPr>
          <w:rFonts w:ascii="Times New Roman" w:hAnsi="Times New Roman" w:cs="Times New Roman"/>
        </w:rPr>
      </w:pPr>
    </w:p>
    <w:p w14:paraId="241FDDB1" w14:textId="77777777" w:rsidR="003A2921" w:rsidRPr="00491BF3" w:rsidRDefault="003A2921" w:rsidP="00491BF3">
      <w:pPr>
        <w:pStyle w:val="Titre1"/>
        <w:numPr>
          <w:ilvl w:val="0"/>
          <w:numId w:val="9"/>
        </w:numPr>
        <w:rPr>
          <w:sz w:val="24"/>
          <w:szCs w:val="24"/>
          <w:u w:val="single"/>
        </w:rPr>
      </w:pPr>
      <w:bookmarkStart w:id="6" w:name="_Toc49433218"/>
      <w:r w:rsidRPr="00491BF3">
        <w:rPr>
          <w:sz w:val="24"/>
          <w:szCs w:val="24"/>
          <w:u w:val="single"/>
        </w:rPr>
        <w:t>Par quels moyens le responsable de traitement justifie-t-il la pertinence scientifique de son projet ?</w:t>
      </w:r>
      <w:bookmarkEnd w:id="6"/>
    </w:p>
    <w:p w14:paraId="7588897A" w14:textId="77777777" w:rsidR="003A2921" w:rsidRPr="00C107F2" w:rsidRDefault="003A2921" w:rsidP="003A2921">
      <w:pPr>
        <w:jc w:val="both"/>
        <w:rPr>
          <w:rFonts w:ascii="Times New Roman" w:hAnsi="Times New Roman" w:cs="Times New Roman"/>
          <w:u w:val="single"/>
        </w:rPr>
      </w:pPr>
    </w:p>
    <w:p w14:paraId="72C9AA72" w14:textId="4209D931" w:rsidR="00C02CB1" w:rsidRPr="00063BE5" w:rsidRDefault="003A2921" w:rsidP="003A2921">
      <w:pPr>
        <w:jc w:val="both"/>
        <w:rPr>
          <w:rFonts w:ascii="Times New Roman" w:hAnsi="Times New Roman" w:cs="Times New Roman"/>
        </w:rPr>
      </w:pPr>
      <w:r w:rsidRPr="00063BE5">
        <w:rPr>
          <w:rFonts w:ascii="Times New Roman" w:hAnsi="Times New Roman" w:cs="Times New Roman"/>
        </w:rPr>
        <w:t xml:space="preserve">Une </w:t>
      </w:r>
      <w:r w:rsidR="00C02CB1" w:rsidRPr="00063BE5">
        <w:rPr>
          <w:rFonts w:ascii="Times New Roman" w:hAnsi="Times New Roman" w:cs="Times New Roman"/>
        </w:rPr>
        <w:t xml:space="preserve">évaluation </w:t>
      </w:r>
      <w:r w:rsidRPr="00063BE5">
        <w:rPr>
          <w:rFonts w:ascii="Times New Roman" w:hAnsi="Times New Roman" w:cs="Times New Roman"/>
        </w:rPr>
        <w:t>doit être réalisée par un groupe d’experts extérieur au responsable de traitement, composé de 3 personnes d’au moins 2 spécialités différentes. Celle-ci doit permettre d’apprécier</w:t>
      </w:r>
      <w:r w:rsidR="00C02CB1" w:rsidRPr="00063BE5">
        <w:rPr>
          <w:rFonts w:ascii="Times New Roman" w:hAnsi="Times New Roman" w:cs="Times New Roman"/>
        </w:rPr>
        <w:t> :</w:t>
      </w:r>
    </w:p>
    <w:p w14:paraId="4284B71D" w14:textId="77777777" w:rsidR="00C02CB1" w:rsidRPr="00063BE5" w:rsidRDefault="00C02CB1" w:rsidP="003A2921">
      <w:pPr>
        <w:jc w:val="both"/>
        <w:rPr>
          <w:rFonts w:ascii="Times New Roman" w:hAnsi="Times New Roman" w:cs="Times New Roman"/>
        </w:rPr>
      </w:pPr>
    </w:p>
    <w:p w14:paraId="4FC1B019" w14:textId="77777777" w:rsidR="00C02CB1" w:rsidRPr="00063BE5" w:rsidRDefault="00C02CB1" w:rsidP="00C02CB1">
      <w:pPr>
        <w:pStyle w:val="Paragraphedeliste"/>
        <w:numPr>
          <w:ilvl w:val="0"/>
          <w:numId w:val="15"/>
        </w:numPr>
        <w:spacing w:line="276" w:lineRule="auto"/>
        <w:ind w:left="1418" w:hanging="425"/>
        <w:jc w:val="both"/>
        <w:rPr>
          <w:rFonts w:ascii="Times New Roman" w:eastAsia="Times New Roman" w:hAnsi="Times New Roman" w:cs="Times New Roman"/>
          <w:color w:val="000000"/>
          <w:lang w:eastAsia="fr-FR"/>
        </w:rPr>
      </w:pPr>
      <w:r w:rsidRPr="00063BE5">
        <w:rPr>
          <w:rFonts w:ascii="Times New Roman" w:eastAsia="Times New Roman" w:hAnsi="Times New Roman" w:cs="Times New Roman"/>
          <w:color w:val="000000"/>
          <w:lang w:eastAsia="fr-FR"/>
        </w:rPr>
        <w:t>Le rationnel (état des connaissances, contexte et mise en perspective) ;</w:t>
      </w:r>
    </w:p>
    <w:p w14:paraId="548D8D6A" w14:textId="77777777" w:rsidR="00C02CB1" w:rsidRPr="00063BE5" w:rsidRDefault="00C02CB1" w:rsidP="00C02CB1">
      <w:pPr>
        <w:pStyle w:val="Paragraphedeliste"/>
        <w:numPr>
          <w:ilvl w:val="0"/>
          <w:numId w:val="15"/>
        </w:numPr>
        <w:spacing w:line="276" w:lineRule="auto"/>
        <w:ind w:left="1418" w:hanging="425"/>
        <w:jc w:val="both"/>
        <w:rPr>
          <w:rFonts w:ascii="Times New Roman" w:eastAsia="Times New Roman" w:hAnsi="Times New Roman" w:cs="Times New Roman"/>
          <w:color w:val="000000"/>
          <w:lang w:eastAsia="fr-FR"/>
        </w:rPr>
      </w:pPr>
      <w:r w:rsidRPr="00063BE5">
        <w:rPr>
          <w:rFonts w:ascii="Times New Roman" w:eastAsia="Times New Roman" w:hAnsi="Times New Roman" w:cs="Times New Roman"/>
          <w:color w:val="000000"/>
          <w:lang w:eastAsia="fr-FR"/>
        </w:rPr>
        <w:t>La clarté des objectifs et leur cohérence avec le rationnel ;</w:t>
      </w:r>
    </w:p>
    <w:p w14:paraId="55770FA5" w14:textId="77777777" w:rsidR="00C02CB1" w:rsidRPr="00063BE5" w:rsidRDefault="00C02CB1" w:rsidP="00C02CB1">
      <w:pPr>
        <w:pStyle w:val="Paragraphedeliste"/>
        <w:numPr>
          <w:ilvl w:val="0"/>
          <w:numId w:val="15"/>
        </w:numPr>
        <w:spacing w:line="276" w:lineRule="auto"/>
        <w:ind w:left="1418" w:hanging="425"/>
        <w:jc w:val="both"/>
        <w:rPr>
          <w:rFonts w:ascii="Times New Roman" w:eastAsia="Times New Roman" w:hAnsi="Times New Roman" w:cs="Times New Roman"/>
          <w:color w:val="000000"/>
          <w:lang w:eastAsia="fr-FR"/>
        </w:rPr>
      </w:pPr>
      <w:r w:rsidRPr="00063BE5">
        <w:rPr>
          <w:rFonts w:ascii="Times New Roman" w:eastAsia="Times New Roman" w:hAnsi="Times New Roman" w:cs="Times New Roman"/>
          <w:color w:val="000000"/>
          <w:lang w:eastAsia="fr-FR"/>
        </w:rPr>
        <w:t>L’adéquation de la méthode pour atteindre les objectifs ;</w:t>
      </w:r>
    </w:p>
    <w:p w14:paraId="53A01B9C" w14:textId="77777777" w:rsidR="00C02CB1" w:rsidRPr="00063BE5" w:rsidRDefault="00C02CB1" w:rsidP="00C02CB1">
      <w:pPr>
        <w:pStyle w:val="Paragraphedeliste"/>
        <w:numPr>
          <w:ilvl w:val="0"/>
          <w:numId w:val="15"/>
        </w:numPr>
        <w:spacing w:line="276" w:lineRule="auto"/>
        <w:ind w:left="1418" w:hanging="425"/>
        <w:jc w:val="both"/>
        <w:rPr>
          <w:rFonts w:ascii="Times New Roman" w:eastAsia="Times New Roman" w:hAnsi="Times New Roman" w:cs="Times New Roman"/>
          <w:color w:val="000000"/>
          <w:lang w:eastAsia="fr-FR"/>
        </w:rPr>
      </w:pPr>
      <w:r w:rsidRPr="00063BE5">
        <w:rPr>
          <w:rFonts w:ascii="Times New Roman" w:eastAsia="Times New Roman" w:hAnsi="Times New Roman" w:cs="Times New Roman"/>
          <w:color w:val="000000"/>
          <w:lang w:eastAsia="fr-FR"/>
        </w:rPr>
        <w:t>Les limites éventuelles du projet ;</w:t>
      </w:r>
    </w:p>
    <w:p w14:paraId="40501460" w14:textId="5D7CC7DB" w:rsidR="00C02CB1" w:rsidRPr="00063BE5" w:rsidRDefault="00C02CB1" w:rsidP="00C02CB1">
      <w:pPr>
        <w:pStyle w:val="Paragraphedeliste"/>
        <w:numPr>
          <w:ilvl w:val="0"/>
          <w:numId w:val="15"/>
        </w:numPr>
        <w:spacing w:line="276" w:lineRule="auto"/>
        <w:ind w:left="1418" w:hanging="425"/>
        <w:jc w:val="both"/>
        <w:rPr>
          <w:rFonts w:ascii="Times New Roman" w:eastAsia="Times New Roman" w:hAnsi="Times New Roman" w:cs="Times New Roman"/>
          <w:color w:val="000000"/>
          <w:lang w:eastAsia="fr-FR"/>
        </w:rPr>
      </w:pPr>
      <w:r w:rsidRPr="00063BE5">
        <w:rPr>
          <w:rFonts w:ascii="Times New Roman" w:eastAsia="Times New Roman" w:hAnsi="Times New Roman" w:cs="Times New Roman"/>
          <w:color w:val="000000"/>
          <w:lang w:eastAsia="fr-FR"/>
        </w:rPr>
        <w:t xml:space="preserve">L’adéquation entre les données demandées (EGB ou données agrégées) et </w:t>
      </w:r>
      <w:r w:rsidR="0005744D" w:rsidRPr="00063BE5">
        <w:rPr>
          <w:rFonts w:ascii="Times New Roman" w:eastAsia="Times New Roman" w:hAnsi="Times New Roman" w:cs="Times New Roman"/>
          <w:color w:val="000000"/>
          <w:lang w:eastAsia="fr-FR"/>
        </w:rPr>
        <w:t>le</w:t>
      </w:r>
      <w:r w:rsidRPr="00063BE5">
        <w:rPr>
          <w:rFonts w:ascii="Times New Roman" w:eastAsia="Times New Roman" w:hAnsi="Times New Roman" w:cs="Times New Roman"/>
          <w:color w:val="000000"/>
          <w:lang w:eastAsia="fr-FR"/>
        </w:rPr>
        <w:t xml:space="preserve"> projet visé.</w:t>
      </w:r>
    </w:p>
    <w:p w14:paraId="62A974E0" w14:textId="77777777" w:rsidR="00063BE5" w:rsidRDefault="00063BE5" w:rsidP="00C02CB1">
      <w:pPr>
        <w:jc w:val="both"/>
        <w:rPr>
          <w:rFonts w:ascii="Times New Roman" w:hAnsi="Times New Roman" w:cs="Times New Roman"/>
        </w:rPr>
      </w:pPr>
    </w:p>
    <w:p w14:paraId="19F598F5" w14:textId="77777777" w:rsidR="00063BE5" w:rsidRDefault="00063BE5" w:rsidP="00C02CB1">
      <w:pPr>
        <w:jc w:val="both"/>
        <w:rPr>
          <w:rFonts w:ascii="Times New Roman" w:hAnsi="Times New Roman" w:cs="Times New Roman"/>
        </w:rPr>
      </w:pPr>
    </w:p>
    <w:p w14:paraId="3D632A13" w14:textId="41FA73ED" w:rsidR="00063BE5" w:rsidRPr="00D22C30" w:rsidRDefault="00C02CB1" w:rsidP="00C02CB1">
      <w:pPr>
        <w:jc w:val="both"/>
        <w:rPr>
          <w:rFonts w:ascii="Times New Roman" w:hAnsi="Times New Roman" w:cs="Times New Roman"/>
        </w:rPr>
      </w:pPr>
      <w:r>
        <w:rPr>
          <w:rFonts w:ascii="Times New Roman" w:hAnsi="Times New Roman" w:cs="Times New Roman"/>
        </w:rPr>
        <w:t xml:space="preserve">Cette évaluation doit être réalisée à partir d’une </w:t>
      </w:r>
      <w:r w:rsidRPr="00C107F2">
        <w:rPr>
          <w:rFonts w:ascii="Times New Roman" w:hAnsi="Times New Roman" w:cs="Times New Roman"/>
          <w:color w:val="4472C4" w:themeColor="accent1"/>
        </w:rPr>
        <w:t xml:space="preserve">grille élaborée par </w:t>
      </w:r>
      <w:r w:rsidR="00C22B09">
        <w:rPr>
          <w:rFonts w:ascii="Times New Roman" w:hAnsi="Times New Roman" w:cs="Times New Roman"/>
          <w:color w:val="4472C4" w:themeColor="accent1"/>
        </w:rPr>
        <w:t>la Plateforme des données de santé</w:t>
      </w:r>
      <w:r>
        <w:rPr>
          <w:rFonts w:ascii="Times New Roman" w:hAnsi="Times New Roman" w:cs="Times New Roman"/>
          <w:color w:val="4472C4" w:themeColor="accent1"/>
        </w:rPr>
        <w:t xml:space="preserve"> (</w:t>
      </w:r>
      <w:commentRangeStart w:id="7"/>
      <w:r w:rsidRPr="00491BF3">
        <w:rPr>
          <w:rFonts w:ascii="Times New Roman" w:hAnsi="Times New Roman" w:cs="Times New Roman"/>
          <w:i/>
          <w:color w:val="4472C4" w:themeColor="accent1"/>
        </w:rPr>
        <w:t>mettre lien vers grille svp)</w:t>
      </w:r>
      <w:r w:rsidRPr="00C107F2">
        <w:rPr>
          <w:rFonts w:ascii="Times New Roman" w:hAnsi="Times New Roman" w:cs="Times New Roman"/>
          <w:color w:val="4472C4" w:themeColor="accent1"/>
        </w:rPr>
        <w:t xml:space="preserve"> </w:t>
      </w:r>
      <w:commentRangeEnd w:id="7"/>
      <w:r>
        <w:rPr>
          <w:rStyle w:val="Marquedecommentaire"/>
        </w:rPr>
        <w:commentReference w:id="7"/>
      </w:r>
      <w:r>
        <w:rPr>
          <w:rFonts w:ascii="Times New Roman" w:hAnsi="Times New Roman" w:cs="Times New Roman"/>
        </w:rPr>
        <w:t>et disponible sur la plateforme de soumission dédiée.</w:t>
      </w:r>
    </w:p>
    <w:p w14:paraId="16A827C8" w14:textId="77777777" w:rsidR="00063BE5" w:rsidRDefault="00063BE5" w:rsidP="00063BE5">
      <w:pPr>
        <w:jc w:val="both"/>
        <w:rPr>
          <w:rFonts w:ascii="Times New Roman" w:hAnsi="Times New Roman" w:cs="Times New Roman"/>
        </w:rPr>
      </w:pPr>
    </w:p>
    <w:p w14:paraId="4C0AD539" w14:textId="77777777" w:rsidR="00063BE5" w:rsidRPr="00FA7E63" w:rsidRDefault="00063BE5" w:rsidP="00063BE5">
      <w:pPr>
        <w:jc w:val="both"/>
        <w:rPr>
          <w:rFonts w:ascii="Times New Roman" w:hAnsi="Times New Roman" w:cs="Times New Roman"/>
          <w:color w:val="FFC000"/>
          <w:u w:val="single"/>
        </w:rPr>
      </w:pPr>
      <w:r>
        <w:rPr>
          <w:rFonts w:ascii="Times New Roman" w:hAnsi="Times New Roman" w:cs="Times New Roman"/>
          <w:color w:val="FFC000"/>
          <w:u w:val="single"/>
        </w:rPr>
        <w:t>Point de vigilance</w:t>
      </w:r>
      <w:r w:rsidRPr="00FA7E63">
        <w:rPr>
          <w:rFonts w:ascii="Times New Roman" w:hAnsi="Times New Roman" w:cs="Times New Roman"/>
          <w:color w:val="FFC000"/>
          <w:u w:val="single"/>
        </w:rPr>
        <w:t xml:space="preserve"> :</w:t>
      </w:r>
    </w:p>
    <w:p w14:paraId="67F78DE0" w14:textId="77777777" w:rsidR="00063BE5" w:rsidRDefault="00063BE5" w:rsidP="00063BE5">
      <w:pPr>
        <w:pStyle w:val="Paragraphedeliste"/>
        <w:ind w:left="1985"/>
        <w:jc w:val="both"/>
        <w:rPr>
          <w:rFonts w:ascii="Times New Roman" w:hAnsi="Times New Roman" w:cs="Times New Roman"/>
        </w:rPr>
      </w:pPr>
      <w:r>
        <w:rPr>
          <w:rFonts w:ascii="Times New Roman" w:hAnsi="Times New Roman" w:cs="Times New Roman"/>
        </w:rPr>
        <w:t>Pour :</w:t>
      </w:r>
    </w:p>
    <w:p w14:paraId="31B017A0" w14:textId="0AFFA0EA" w:rsidR="00063BE5" w:rsidRDefault="00063BE5" w:rsidP="00063BE5">
      <w:pPr>
        <w:pStyle w:val="Paragraphedeliste"/>
        <w:numPr>
          <w:ilvl w:val="0"/>
          <w:numId w:val="13"/>
        </w:numPr>
        <w:ind w:left="2268" w:hanging="283"/>
        <w:jc w:val="both"/>
        <w:rPr>
          <w:rFonts w:ascii="Times New Roman" w:hAnsi="Times New Roman" w:cs="Times New Roman"/>
        </w:rPr>
      </w:pPr>
      <w:r>
        <w:rPr>
          <w:rFonts w:ascii="Times New Roman" w:hAnsi="Times New Roman" w:cs="Times New Roman"/>
        </w:rPr>
        <w:t xml:space="preserve">Les études demandées explicitement par les autorités </w:t>
      </w:r>
      <w:r w:rsidRPr="00063BE5">
        <w:rPr>
          <w:rFonts w:ascii="Times New Roman" w:hAnsi="Times New Roman" w:cs="Times New Roman"/>
        </w:rPr>
        <w:t>publiques pour lesquelles une évaluation scientifique a déjà été réalisée en amont par ces dernières (par exemple, les études post-inscriptions demandées par la HAS et évaluées par la Commission de la Transparence</w:t>
      </w:r>
      <w:r>
        <w:rPr>
          <w:rFonts w:ascii="Times New Roman" w:hAnsi="Times New Roman" w:cs="Times New Roman"/>
        </w:rPr>
        <w:t xml:space="preserve">) </w:t>
      </w:r>
    </w:p>
    <w:p w14:paraId="5C5AB91C" w14:textId="414119EF" w:rsidR="00063BE5" w:rsidRDefault="00063BE5" w:rsidP="00063BE5">
      <w:pPr>
        <w:pStyle w:val="Paragraphedeliste"/>
        <w:numPr>
          <w:ilvl w:val="0"/>
          <w:numId w:val="13"/>
        </w:numPr>
        <w:ind w:left="2268" w:hanging="283"/>
        <w:jc w:val="both"/>
        <w:rPr>
          <w:rFonts w:ascii="Times New Roman" w:hAnsi="Times New Roman" w:cs="Times New Roman"/>
        </w:rPr>
      </w:pPr>
      <w:r>
        <w:rPr>
          <w:rFonts w:ascii="Times New Roman" w:hAnsi="Times New Roman" w:cs="Times New Roman"/>
        </w:rPr>
        <w:t>L</w:t>
      </w:r>
      <w:r w:rsidRPr="00063BE5">
        <w:rPr>
          <w:rFonts w:ascii="Times New Roman" w:hAnsi="Times New Roman" w:cs="Times New Roman"/>
        </w:rPr>
        <w:t xml:space="preserve">es études retenues dans le cadre d’un appel à projets de recherche avec comité </w:t>
      </w:r>
      <w:r>
        <w:rPr>
          <w:rFonts w:ascii="Times New Roman" w:hAnsi="Times New Roman" w:cs="Times New Roman"/>
        </w:rPr>
        <w:t xml:space="preserve">de </w:t>
      </w:r>
      <w:r w:rsidRPr="00063BE5">
        <w:rPr>
          <w:rFonts w:ascii="Times New Roman" w:hAnsi="Times New Roman" w:cs="Times New Roman"/>
        </w:rPr>
        <w:t xml:space="preserve">sélection scientifique (par </w:t>
      </w:r>
      <w:r>
        <w:rPr>
          <w:rFonts w:ascii="Times New Roman" w:hAnsi="Times New Roman" w:cs="Times New Roman"/>
        </w:rPr>
        <w:t>exemple, PHRC, ANSM, ANR, etc…),</w:t>
      </w:r>
    </w:p>
    <w:p w14:paraId="1162B214" w14:textId="4293CCEF" w:rsidR="00063BE5" w:rsidRPr="00C107F2" w:rsidRDefault="00063BE5" w:rsidP="00063BE5">
      <w:pPr>
        <w:pStyle w:val="Paragraphedeliste"/>
        <w:ind w:left="1985"/>
        <w:jc w:val="both"/>
        <w:rPr>
          <w:rFonts w:ascii="Times New Roman" w:hAnsi="Times New Roman" w:cs="Times New Roman"/>
        </w:rPr>
      </w:pPr>
      <w:r>
        <w:rPr>
          <w:rFonts w:ascii="Times New Roman" w:hAnsi="Times New Roman" w:cs="Times New Roman"/>
        </w:rPr>
        <w:t xml:space="preserve">l’avis ou décision de l’autorité publique ou comité de sélection joint au dossier </w:t>
      </w:r>
      <w:r w:rsidR="00180B07">
        <w:rPr>
          <w:rFonts w:ascii="Times New Roman" w:hAnsi="Times New Roman" w:cs="Times New Roman"/>
        </w:rPr>
        <w:t xml:space="preserve">peut </w:t>
      </w:r>
      <w:r>
        <w:rPr>
          <w:rFonts w:ascii="Times New Roman" w:hAnsi="Times New Roman" w:cs="Times New Roman"/>
        </w:rPr>
        <w:t>se substitue</w:t>
      </w:r>
      <w:r w:rsidR="00180B07">
        <w:rPr>
          <w:rFonts w:ascii="Times New Roman" w:hAnsi="Times New Roman" w:cs="Times New Roman"/>
        </w:rPr>
        <w:t>r</w:t>
      </w:r>
      <w:r>
        <w:rPr>
          <w:rFonts w:ascii="Times New Roman" w:hAnsi="Times New Roman" w:cs="Times New Roman"/>
        </w:rPr>
        <w:t xml:space="preserve"> à l’évaluation attendue par le groupe d’experts défini ci-dessus.</w:t>
      </w:r>
    </w:p>
    <w:p w14:paraId="4BF81A33" w14:textId="193D360D" w:rsidR="00AA1EF3" w:rsidRPr="00491BF3" w:rsidRDefault="00AA1EF3" w:rsidP="00491BF3">
      <w:pPr>
        <w:pStyle w:val="Titre1"/>
        <w:numPr>
          <w:ilvl w:val="0"/>
          <w:numId w:val="9"/>
        </w:numPr>
        <w:rPr>
          <w:sz w:val="24"/>
          <w:szCs w:val="24"/>
          <w:u w:val="single"/>
        </w:rPr>
      </w:pPr>
      <w:bookmarkStart w:id="8" w:name="_Toc49433219"/>
      <w:r w:rsidRPr="00491BF3">
        <w:rPr>
          <w:sz w:val="24"/>
          <w:szCs w:val="24"/>
          <w:u w:val="single"/>
        </w:rPr>
        <w:t xml:space="preserve">Sur quels critères est jugée la finalité d’intérêt public de </w:t>
      </w:r>
      <w:r w:rsidR="00682772" w:rsidRPr="00491BF3">
        <w:rPr>
          <w:sz w:val="24"/>
          <w:szCs w:val="24"/>
          <w:u w:val="single"/>
        </w:rPr>
        <w:t>l’</w:t>
      </w:r>
      <w:r w:rsidRPr="00491BF3">
        <w:rPr>
          <w:sz w:val="24"/>
          <w:szCs w:val="24"/>
          <w:u w:val="single"/>
        </w:rPr>
        <w:t>étude</w:t>
      </w:r>
      <w:r w:rsidR="00682772" w:rsidRPr="00491BF3">
        <w:rPr>
          <w:sz w:val="24"/>
          <w:szCs w:val="24"/>
          <w:u w:val="single"/>
        </w:rPr>
        <w:t xml:space="preserve"> envisagée par le responsable de traitement</w:t>
      </w:r>
      <w:r w:rsidRPr="00491BF3">
        <w:rPr>
          <w:sz w:val="24"/>
          <w:szCs w:val="24"/>
          <w:u w:val="single"/>
        </w:rPr>
        <w:t> ?</w:t>
      </w:r>
      <w:bookmarkEnd w:id="8"/>
    </w:p>
    <w:p w14:paraId="0811E4E8" w14:textId="77777777" w:rsidR="00AA1EF3" w:rsidRPr="00C107F2" w:rsidRDefault="00AA1EF3" w:rsidP="006C6225">
      <w:pPr>
        <w:jc w:val="both"/>
        <w:rPr>
          <w:rFonts w:ascii="Times New Roman" w:hAnsi="Times New Roman" w:cs="Times New Roman"/>
          <w:u w:val="single"/>
        </w:rPr>
      </w:pPr>
    </w:p>
    <w:p w14:paraId="31874B9C" w14:textId="630023A0" w:rsidR="00AA1EF3" w:rsidRDefault="00C22B09" w:rsidP="006C6225">
      <w:pPr>
        <w:jc w:val="both"/>
        <w:rPr>
          <w:rFonts w:ascii="Times New Roman" w:hAnsi="Times New Roman" w:cs="Times New Roman"/>
        </w:rPr>
      </w:pPr>
      <w:r>
        <w:rPr>
          <w:rFonts w:ascii="Times New Roman" w:hAnsi="Times New Roman" w:cs="Times New Roman"/>
        </w:rPr>
        <w:t>La Plateforme des données de santé</w:t>
      </w:r>
      <w:r w:rsidR="00E707A3" w:rsidRPr="00C107F2">
        <w:rPr>
          <w:rFonts w:ascii="Times New Roman" w:hAnsi="Times New Roman" w:cs="Times New Roman"/>
        </w:rPr>
        <w:t xml:space="preserve"> s’appuie sur un faisceau d’indices pour évaluer le caractère d’intérêt public. </w:t>
      </w:r>
      <w:r w:rsidR="00AA1EF3" w:rsidRPr="00C107F2">
        <w:rPr>
          <w:rFonts w:ascii="Times New Roman" w:hAnsi="Times New Roman" w:cs="Times New Roman"/>
        </w:rPr>
        <w:t xml:space="preserve">Les éléments </w:t>
      </w:r>
      <w:r w:rsidR="000E1D48" w:rsidRPr="00C107F2">
        <w:rPr>
          <w:rFonts w:ascii="Times New Roman" w:hAnsi="Times New Roman" w:cs="Times New Roman"/>
        </w:rPr>
        <w:t>suivants</w:t>
      </w:r>
      <w:r w:rsidR="00E707A3" w:rsidRPr="00C107F2">
        <w:rPr>
          <w:rFonts w:ascii="Times New Roman" w:hAnsi="Times New Roman" w:cs="Times New Roman"/>
        </w:rPr>
        <w:t xml:space="preserve"> peuvent par exemple être retenus</w:t>
      </w:r>
      <w:r w:rsidR="00AA1EF3" w:rsidRPr="00C107F2">
        <w:rPr>
          <w:rFonts w:ascii="Times New Roman" w:hAnsi="Times New Roman" w:cs="Times New Roman"/>
        </w:rPr>
        <w:t xml:space="preserve"> : </w:t>
      </w:r>
    </w:p>
    <w:p w14:paraId="767F9F55" w14:textId="77777777" w:rsidR="00D67C2F" w:rsidRPr="00C107F2" w:rsidRDefault="00D67C2F" w:rsidP="006C6225">
      <w:pPr>
        <w:jc w:val="both"/>
        <w:rPr>
          <w:rFonts w:ascii="Times New Roman" w:hAnsi="Times New Roman" w:cs="Times New Roman"/>
        </w:rPr>
      </w:pPr>
    </w:p>
    <w:p w14:paraId="2E6C6369" w14:textId="77777777" w:rsidR="00AA1EF3" w:rsidRPr="00E37CFE" w:rsidRDefault="000E1D48" w:rsidP="00E37CFE">
      <w:pPr>
        <w:pStyle w:val="Paragraphedeliste"/>
        <w:numPr>
          <w:ilvl w:val="0"/>
          <w:numId w:val="14"/>
        </w:numPr>
        <w:jc w:val="both"/>
        <w:rPr>
          <w:rFonts w:ascii="Times New Roman" w:hAnsi="Times New Roman" w:cs="Times New Roman"/>
        </w:rPr>
      </w:pPr>
      <w:r w:rsidRPr="00E37CFE">
        <w:rPr>
          <w:rFonts w:ascii="Times New Roman" w:hAnsi="Times New Roman" w:cs="Times New Roman"/>
        </w:rPr>
        <w:t>Il est indispensable de disposer</w:t>
      </w:r>
      <w:r w:rsidR="00AA1EF3" w:rsidRPr="00E37CFE">
        <w:rPr>
          <w:rFonts w:ascii="Times New Roman" w:hAnsi="Times New Roman" w:cs="Times New Roman"/>
        </w:rPr>
        <w:t xml:space="preserve"> dans le protocole d’objectifs clairs et cohérents</w:t>
      </w:r>
      <w:r w:rsidRPr="00E37CFE">
        <w:rPr>
          <w:rFonts w:ascii="Times New Roman" w:hAnsi="Times New Roman" w:cs="Times New Roman"/>
        </w:rPr>
        <w:t>. Autrement dit,</w:t>
      </w:r>
      <w:r w:rsidR="00AA1EF3" w:rsidRPr="00E37CFE">
        <w:rPr>
          <w:rFonts w:ascii="Times New Roman" w:hAnsi="Times New Roman" w:cs="Times New Roman"/>
        </w:rPr>
        <w:t xml:space="preserve"> la connaissance produite doit être clairement identifiée ; </w:t>
      </w:r>
    </w:p>
    <w:p w14:paraId="288506BA" w14:textId="37B3D2FA" w:rsidR="00647C3A" w:rsidRPr="00E37CFE" w:rsidRDefault="00647C3A" w:rsidP="00E37CFE">
      <w:pPr>
        <w:pStyle w:val="Paragraphedeliste"/>
        <w:numPr>
          <w:ilvl w:val="0"/>
          <w:numId w:val="14"/>
        </w:numPr>
        <w:jc w:val="both"/>
        <w:rPr>
          <w:rFonts w:ascii="Times New Roman" w:hAnsi="Times New Roman" w:cs="Times New Roman"/>
        </w:rPr>
      </w:pPr>
      <w:r w:rsidRPr="00E37CFE">
        <w:rPr>
          <w:rFonts w:ascii="Times New Roman" w:hAnsi="Times New Roman" w:cs="Times New Roman"/>
        </w:rPr>
        <w:t>La</w:t>
      </w:r>
      <w:r w:rsidR="00AA1EF3" w:rsidRPr="00E37CFE">
        <w:rPr>
          <w:rFonts w:ascii="Times New Roman" w:hAnsi="Times New Roman" w:cs="Times New Roman"/>
        </w:rPr>
        <w:t xml:space="preserve"> mise à disposition des résultats </w:t>
      </w:r>
      <w:r w:rsidRPr="00E37CFE">
        <w:rPr>
          <w:rFonts w:ascii="Times New Roman" w:hAnsi="Times New Roman" w:cs="Times New Roman"/>
        </w:rPr>
        <w:t>et leur diffusion la plus large ;</w:t>
      </w:r>
    </w:p>
    <w:p w14:paraId="0F2E6E6B" w14:textId="2C0D89B2" w:rsidR="00AA1EF3" w:rsidRPr="00E37CFE" w:rsidRDefault="00647C3A" w:rsidP="00E37CFE">
      <w:pPr>
        <w:pStyle w:val="Paragraphedeliste"/>
        <w:numPr>
          <w:ilvl w:val="0"/>
          <w:numId w:val="14"/>
        </w:numPr>
        <w:jc w:val="both"/>
        <w:rPr>
          <w:rFonts w:ascii="Times New Roman" w:hAnsi="Times New Roman" w:cs="Times New Roman"/>
        </w:rPr>
      </w:pPr>
      <w:r w:rsidRPr="00E37CFE">
        <w:rPr>
          <w:rFonts w:ascii="Times New Roman" w:hAnsi="Times New Roman" w:cs="Times New Roman"/>
        </w:rPr>
        <w:t>Le positionnement du projet par rapport aux finalités interdites du SNDS.</w:t>
      </w:r>
    </w:p>
    <w:p w14:paraId="704F003D" w14:textId="0E957C44" w:rsidR="00C22B09" w:rsidRDefault="00C22B09">
      <w:pPr>
        <w:rPr>
          <w:rFonts w:ascii="Times New Roman" w:hAnsi="Times New Roman" w:cs="Times New Roman"/>
        </w:rPr>
      </w:pPr>
      <w:r>
        <w:rPr>
          <w:rFonts w:ascii="Times New Roman" w:hAnsi="Times New Roman" w:cs="Times New Roman"/>
        </w:rPr>
        <w:br w:type="page"/>
      </w:r>
    </w:p>
    <w:p w14:paraId="17CCFD12" w14:textId="77777777" w:rsidR="00C22B09" w:rsidRPr="00C107F2" w:rsidRDefault="00C22B09" w:rsidP="00E37CFE">
      <w:pPr>
        <w:jc w:val="both"/>
        <w:rPr>
          <w:rFonts w:ascii="Times New Roman" w:hAnsi="Times New Roman" w:cs="Times New Roman"/>
        </w:rPr>
      </w:pPr>
    </w:p>
    <w:p w14:paraId="0A50AA21" w14:textId="702CF26B" w:rsidR="003A2921" w:rsidRPr="00491BF3" w:rsidRDefault="003A2921" w:rsidP="00491BF3">
      <w:pPr>
        <w:pStyle w:val="Titre1"/>
        <w:numPr>
          <w:ilvl w:val="0"/>
          <w:numId w:val="9"/>
        </w:numPr>
        <w:rPr>
          <w:sz w:val="24"/>
          <w:szCs w:val="24"/>
          <w:u w:val="single"/>
        </w:rPr>
      </w:pPr>
      <w:bookmarkStart w:id="9" w:name="_Toc49433220"/>
      <w:r w:rsidRPr="00491BF3">
        <w:rPr>
          <w:sz w:val="24"/>
          <w:szCs w:val="24"/>
          <w:u w:val="single"/>
        </w:rPr>
        <w:t xml:space="preserve">Quelle réponse apporte </w:t>
      </w:r>
      <w:r w:rsidR="00290430">
        <w:rPr>
          <w:sz w:val="24"/>
          <w:szCs w:val="24"/>
          <w:u w:val="single"/>
        </w:rPr>
        <w:t>la Plateforme des données de santé (le Health Data Hub)</w:t>
      </w:r>
      <w:r w:rsidRPr="00491BF3">
        <w:rPr>
          <w:sz w:val="24"/>
          <w:szCs w:val="24"/>
          <w:u w:val="single"/>
        </w:rPr>
        <w:t xml:space="preserve"> à une demande d’accès simplifié et sous quel délai ?</w:t>
      </w:r>
      <w:bookmarkEnd w:id="9"/>
    </w:p>
    <w:p w14:paraId="7E7A7D69" w14:textId="77777777" w:rsidR="001126F4" w:rsidRPr="00F24923" w:rsidRDefault="001126F4" w:rsidP="00D22C30">
      <w:pPr>
        <w:pStyle w:val="Paragraphedeliste"/>
        <w:jc w:val="both"/>
        <w:rPr>
          <w:rFonts w:ascii="Times New Roman" w:hAnsi="Times New Roman" w:cs="Times New Roman"/>
          <w:u w:val="single"/>
        </w:rPr>
      </w:pPr>
    </w:p>
    <w:p w14:paraId="47159123" w14:textId="77777777" w:rsidR="003A2921" w:rsidRDefault="003A2921" w:rsidP="001126F4">
      <w:pPr>
        <w:jc w:val="both"/>
        <w:rPr>
          <w:rFonts w:ascii="Times New Roman" w:hAnsi="Times New Roman" w:cs="Times New Roman"/>
        </w:rPr>
      </w:pPr>
    </w:p>
    <w:p w14:paraId="62DA5333" w14:textId="3E01BF60" w:rsidR="003A2921" w:rsidRPr="003A2921" w:rsidRDefault="00C22B09" w:rsidP="003A2921">
      <w:pPr>
        <w:jc w:val="both"/>
        <w:rPr>
          <w:rFonts w:ascii="Times New Roman" w:hAnsi="Times New Roman" w:cs="Times New Roman"/>
        </w:rPr>
      </w:pPr>
      <w:r>
        <w:rPr>
          <w:rFonts w:ascii="Times New Roman" w:hAnsi="Times New Roman" w:cs="Times New Roman"/>
        </w:rPr>
        <w:t>La Plateforme des données de santé</w:t>
      </w:r>
      <w:r w:rsidRPr="00C107F2">
        <w:rPr>
          <w:rFonts w:ascii="Times New Roman" w:hAnsi="Times New Roman" w:cs="Times New Roman"/>
        </w:rPr>
        <w:t xml:space="preserve"> </w:t>
      </w:r>
      <w:r w:rsidR="003A2921" w:rsidRPr="003A2921">
        <w:rPr>
          <w:rFonts w:ascii="Times New Roman" w:hAnsi="Times New Roman" w:cs="Times New Roman"/>
        </w:rPr>
        <w:t>dispose d’un délai de 15 jours ouvrés à compter de la réception du dossier complet pour vous répondre.</w:t>
      </w:r>
    </w:p>
    <w:p w14:paraId="6CB6BB2B" w14:textId="77777777" w:rsidR="003A2921" w:rsidRPr="003A2921" w:rsidRDefault="003A2921" w:rsidP="003A2921">
      <w:pPr>
        <w:jc w:val="both"/>
        <w:rPr>
          <w:rFonts w:ascii="Times New Roman" w:hAnsi="Times New Roman" w:cs="Times New Roman"/>
        </w:rPr>
      </w:pPr>
    </w:p>
    <w:p w14:paraId="39375330" w14:textId="77777777" w:rsidR="003A2921" w:rsidRDefault="003A2921" w:rsidP="003A2921">
      <w:pPr>
        <w:jc w:val="both"/>
        <w:rPr>
          <w:rFonts w:ascii="Times New Roman" w:hAnsi="Times New Roman" w:cs="Times New Roman"/>
        </w:rPr>
      </w:pPr>
      <w:r w:rsidRPr="003A2921">
        <w:rPr>
          <w:rFonts w:ascii="Times New Roman" w:hAnsi="Times New Roman" w:cs="Times New Roman"/>
        </w:rPr>
        <w:t>2 réponses sont possibles :</w:t>
      </w:r>
    </w:p>
    <w:p w14:paraId="6E6DE74C" w14:textId="77777777" w:rsidR="003A2921" w:rsidRPr="003A2921" w:rsidRDefault="003A2921" w:rsidP="003A2921">
      <w:pPr>
        <w:jc w:val="both"/>
        <w:rPr>
          <w:rFonts w:ascii="Times New Roman" w:hAnsi="Times New Roman" w:cs="Times New Roman"/>
        </w:rPr>
      </w:pPr>
    </w:p>
    <w:p w14:paraId="1A7F27F0" w14:textId="78712280" w:rsidR="003A2921" w:rsidRPr="003A2921" w:rsidRDefault="003A2921" w:rsidP="003A2921">
      <w:pPr>
        <w:pStyle w:val="Paragraphedeliste"/>
        <w:numPr>
          <w:ilvl w:val="0"/>
          <w:numId w:val="8"/>
        </w:numPr>
        <w:jc w:val="both"/>
        <w:rPr>
          <w:rFonts w:ascii="Times New Roman" w:hAnsi="Times New Roman" w:cs="Times New Roman"/>
        </w:rPr>
      </w:pPr>
      <w:r w:rsidRPr="003A2921">
        <w:rPr>
          <w:rFonts w:ascii="Times New Roman" w:hAnsi="Times New Roman" w:cs="Times New Roman"/>
        </w:rPr>
        <w:t xml:space="preserve">soit </w:t>
      </w:r>
      <w:r w:rsidR="00C22B09">
        <w:rPr>
          <w:rFonts w:ascii="Times New Roman" w:hAnsi="Times New Roman" w:cs="Times New Roman"/>
        </w:rPr>
        <w:t>La Plateforme des données de santé</w:t>
      </w:r>
      <w:r w:rsidR="00C22B09" w:rsidRPr="00C107F2">
        <w:rPr>
          <w:rFonts w:ascii="Times New Roman" w:hAnsi="Times New Roman" w:cs="Times New Roman"/>
        </w:rPr>
        <w:t xml:space="preserve"> </w:t>
      </w:r>
      <w:r w:rsidRPr="003A2921">
        <w:rPr>
          <w:rFonts w:ascii="Times New Roman" w:hAnsi="Times New Roman" w:cs="Times New Roman"/>
        </w:rPr>
        <w:t>approuve l’accès,</w:t>
      </w:r>
    </w:p>
    <w:p w14:paraId="1B2BF150" w14:textId="358134D5" w:rsidR="003A2921" w:rsidRPr="003A2921" w:rsidRDefault="003A2921" w:rsidP="003A2921">
      <w:pPr>
        <w:pStyle w:val="Paragraphedeliste"/>
        <w:numPr>
          <w:ilvl w:val="0"/>
          <w:numId w:val="8"/>
        </w:numPr>
        <w:jc w:val="both"/>
        <w:rPr>
          <w:rFonts w:ascii="Times New Roman" w:hAnsi="Times New Roman" w:cs="Times New Roman"/>
        </w:rPr>
      </w:pPr>
      <w:r w:rsidRPr="003A2921">
        <w:rPr>
          <w:rFonts w:ascii="Times New Roman" w:hAnsi="Times New Roman" w:cs="Times New Roman"/>
        </w:rPr>
        <w:t xml:space="preserve">soit </w:t>
      </w:r>
      <w:r w:rsidR="00C22B09">
        <w:rPr>
          <w:rFonts w:ascii="Times New Roman" w:hAnsi="Times New Roman" w:cs="Times New Roman"/>
        </w:rPr>
        <w:t>La Plateforme des données de santé</w:t>
      </w:r>
      <w:r w:rsidR="00C22B09" w:rsidRPr="00C107F2">
        <w:rPr>
          <w:rFonts w:ascii="Times New Roman" w:hAnsi="Times New Roman" w:cs="Times New Roman"/>
        </w:rPr>
        <w:t xml:space="preserve"> </w:t>
      </w:r>
      <w:r w:rsidRPr="003A2921">
        <w:rPr>
          <w:rFonts w:ascii="Times New Roman" w:hAnsi="Times New Roman" w:cs="Times New Roman"/>
        </w:rPr>
        <w:t>bascule le dossier vers la procédure classique et transmet donc le dossier au CE</w:t>
      </w:r>
      <w:r w:rsidR="00C22B09">
        <w:rPr>
          <w:rFonts w:ascii="Times New Roman" w:hAnsi="Times New Roman" w:cs="Times New Roman"/>
        </w:rPr>
        <w:t>S</w:t>
      </w:r>
      <w:r w:rsidRPr="003A2921">
        <w:rPr>
          <w:rFonts w:ascii="Times New Roman" w:hAnsi="Times New Roman" w:cs="Times New Roman"/>
        </w:rPr>
        <w:t>REES pour avis puis à la CNIL pour autorisation.</w:t>
      </w:r>
    </w:p>
    <w:p w14:paraId="7FD55CB4" w14:textId="77777777" w:rsidR="003A2921" w:rsidRPr="003A2921" w:rsidRDefault="003A2921" w:rsidP="003A2921">
      <w:pPr>
        <w:jc w:val="both"/>
        <w:rPr>
          <w:rFonts w:ascii="Times New Roman" w:hAnsi="Times New Roman" w:cs="Times New Roman"/>
        </w:rPr>
      </w:pPr>
    </w:p>
    <w:p w14:paraId="37527302" w14:textId="660C2E14" w:rsidR="003A2921" w:rsidRPr="003A2921" w:rsidRDefault="003A2921" w:rsidP="003A2921">
      <w:pPr>
        <w:jc w:val="both"/>
        <w:rPr>
          <w:rFonts w:ascii="Times New Roman" w:hAnsi="Times New Roman" w:cs="Times New Roman"/>
        </w:rPr>
      </w:pPr>
      <w:r w:rsidRPr="003A2921">
        <w:rPr>
          <w:rFonts w:ascii="Times New Roman" w:hAnsi="Times New Roman" w:cs="Times New Roman"/>
        </w:rPr>
        <w:t xml:space="preserve">En effet, à l’examen du dossier, si tout ou partie des conditions nécessaires pour bénéficier de la procédure simplifiée s’avéraient non remplies, </w:t>
      </w:r>
      <w:r w:rsidR="00C22B09">
        <w:rPr>
          <w:rFonts w:ascii="Times New Roman" w:hAnsi="Times New Roman" w:cs="Times New Roman"/>
        </w:rPr>
        <w:t>La Plateforme des données de santé</w:t>
      </w:r>
      <w:r w:rsidR="00C22B09" w:rsidRPr="00C107F2">
        <w:rPr>
          <w:rFonts w:ascii="Times New Roman" w:hAnsi="Times New Roman" w:cs="Times New Roman"/>
        </w:rPr>
        <w:t xml:space="preserve"> </w:t>
      </w:r>
      <w:r w:rsidRPr="003A2921">
        <w:rPr>
          <w:rFonts w:ascii="Times New Roman" w:hAnsi="Times New Roman" w:cs="Times New Roman"/>
        </w:rPr>
        <w:t xml:space="preserve">ne sera pas compétent pour approuver l’accès et devra traiter le dossier selon la procédure classique. </w:t>
      </w:r>
      <w:r w:rsidR="00C22B09">
        <w:rPr>
          <w:rFonts w:ascii="Times New Roman" w:hAnsi="Times New Roman" w:cs="Times New Roman"/>
        </w:rPr>
        <w:t>La Plateforme des données de santé</w:t>
      </w:r>
      <w:r w:rsidR="00C22B09" w:rsidRPr="00C107F2">
        <w:rPr>
          <w:rFonts w:ascii="Times New Roman" w:hAnsi="Times New Roman" w:cs="Times New Roman"/>
        </w:rPr>
        <w:t xml:space="preserve"> </w:t>
      </w:r>
      <w:r w:rsidRPr="003A2921">
        <w:rPr>
          <w:rFonts w:ascii="Times New Roman" w:hAnsi="Times New Roman" w:cs="Times New Roman"/>
        </w:rPr>
        <w:t>vous informera de ce transfert et des raisons qui le motivent.</w:t>
      </w:r>
    </w:p>
    <w:p w14:paraId="7112D2E3" w14:textId="77777777" w:rsidR="003A2921" w:rsidRPr="003A2921" w:rsidRDefault="003A2921" w:rsidP="003A2921">
      <w:pPr>
        <w:jc w:val="both"/>
        <w:rPr>
          <w:rFonts w:ascii="Times New Roman" w:hAnsi="Times New Roman" w:cs="Times New Roman"/>
        </w:rPr>
      </w:pPr>
    </w:p>
    <w:p w14:paraId="7A315362" w14:textId="3258614E" w:rsidR="003A2921" w:rsidRPr="003A2921" w:rsidRDefault="003A2921" w:rsidP="003A2921">
      <w:pPr>
        <w:jc w:val="both"/>
        <w:rPr>
          <w:rFonts w:ascii="Times New Roman" w:hAnsi="Times New Roman" w:cs="Times New Roman"/>
        </w:rPr>
      </w:pPr>
      <w:r w:rsidRPr="003A2921">
        <w:rPr>
          <w:rFonts w:ascii="Times New Roman" w:hAnsi="Times New Roman" w:cs="Times New Roman"/>
        </w:rPr>
        <w:t>Le basculement d’une procédure à l’autre pourra s’opérer facilement puisque les pièces constitutives du dossier classique sont nécessairement soumises (</w:t>
      </w:r>
      <w:proofErr w:type="spellStart"/>
      <w:r w:rsidRPr="003A2921">
        <w:rPr>
          <w:rFonts w:ascii="Times New Roman" w:hAnsi="Times New Roman" w:cs="Times New Roman"/>
        </w:rPr>
        <w:t>ie</w:t>
      </w:r>
      <w:proofErr w:type="spellEnd"/>
      <w:r w:rsidRPr="003A2921">
        <w:rPr>
          <w:rFonts w:ascii="Times New Roman" w:hAnsi="Times New Roman" w:cs="Times New Roman"/>
        </w:rPr>
        <w:t xml:space="preserve">. un protocole, un résumé, une déclaration d’intérêts). Seule la demande d’autorisation CNIL signée devra être transmise pour permettre à </w:t>
      </w:r>
      <w:r w:rsidR="00C22B09">
        <w:rPr>
          <w:rFonts w:ascii="Times New Roman" w:hAnsi="Times New Roman" w:cs="Times New Roman"/>
        </w:rPr>
        <w:t>La Plateforme des données de santé</w:t>
      </w:r>
      <w:r w:rsidRPr="003A2921">
        <w:rPr>
          <w:rFonts w:ascii="Times New Roman" w:hAnsi="Times New Roman" w:cs="Times New Roman"/>
        </w:rPr>
        <w:t>, une fois l’avis du CE</w:t>
      </w:r>
      <w:r w:rsidR="00C22B09">
        <w:rPr>
          <w:rFonts w:ascii="Times New Roman" w:hAnsi="Times New Roman" w:cs="Times New Roman"/>
        </w:rPr>
        <w:t>S</w:t>
      </w:r>
      <w:r w:rsidRPr="003A2921">
        <w:rPr>
          <w:rFonts w:ascii="Times New Roman" w:hAnsi="Times New Roman" w:cs="Times New Roman"/>
        </w:rPr>
        <w:t>REES rendu, de déposer l</w:t>
      </w:r>
      <w:r>
        <w:rPr>
          <w:rFonts w:ascii="Times New Roman" w:hAnsi="Times New Roman" w:cs="Times New Roman"/>
        </w:rPr>
        <w:t>e</w:t>
      </w:r>
      <w:r w:rsidRPr="003A2921">
        <w:rPr>
          <w:rFonts w:ascii="Times New Roman" w:hAnsi="Times New Roman" w:cs="Times New Roman"/>
        </w:rPr>
        <w:t xml:space="preserve"> dossier pour autorisation auprès de la Commission.</w:t>
      </w:r>
    </w:p>
    <w:p w14:paraId="216DB539" w14:textId="77777777" w:rsidR="003A2921" w:rsidRDefault="003A2921" w:rsidP="001126F4">
      <w:pPr>
        <w:jc w:val="both"/>
        <w:rPr>
          <w:rFonts w:ascii="Times New Roman" w:hAnsi="Times New Roman" w:cs="Times New Roman"/>
        </w:rPr>
      </w:pPr>
    </w:p>
    <w:p w14:paraId="67D4CE8A" w14:textId="77777777" w:rsidR="001126F4" w:rsidRPr="00FA7E63" w:rsidRDefault="001126F4" w:rsidP="001126F4">
      <w:pPr>
        <w:jc w:val="both"/>
        <w:rPr>
          <w:rFonts w:ascii="Times New Roman" w:hAnsi="Times New Roman" w:cs="Times New Roman"/>
          <w:color w:val="FFC000"/>
          <w:u w:val="single"/>
        </w:rPr>
      </w:pPr>
      <w:r>
        <w:rPr>
          <w:rFonts w:ascii="Times New Roman" w:hAnsi="Times New Roman" w:cs="Times New Roman"/>
          <w:color w:val="FFC000"/>
          <w:u w:val="single"/>
        </w:rPr>
        <w:t>Point de vigilance</w:t>
      </w:r>
      <w:r w:rsidRPr="00FA7E63">
        <w:rPr>
          <w:rFonts w:ascii="Times New Roman" w:hAnsi="Times New Roman" w:cs="Times New Roman"/>
          <w:color w:val="FFC000"/>
          <w:u w:val="single"/>
        </w:rPr>
        <w:t xml:space="preserve"> :</w:t>
      </w:r>
    </w:p>
    <w:p w14:paraId="3CE4F65E" w14:textId="0399BF9C" w:rsidR="003A2921" w:rsidRDefault="001126F4" w:rsidP="003A2921">
      <w:pPr>
        <w:ind w:left="1843"/>
        <w:jc w:val="both"/>
        <w:rPr>
          <w:rFonts w:ascii="Times New Roman" w:hAnsi="Times New Roman" w:cs="Times New Roman"/>
        </w:rPr>
      </w:pPr>
      <w:r>
        <w:rPr>
          <w:rFonts w:ascii="Times New Roman" w:hAnsi="Times New Roman" w:cs="Times New Roman"/>
        </w:rPr>
        <w:t>En cas de transmission du dossier vers la procédure classique, le CE</w:t>
      </w:r>
      <w:r w:rsidR="00C22B09">
        <w:rPr>
          <w:rFonts w:ascii="Times New Roman" w:hAnsi="Times New Roman" w:cs="Times New Roman"/>
        </w:rPr>
        <w:t>S</w:t>
      </w:r>
      <w:r>
        <w:rPr>
          <w:rFonts w:ascii="Times New Roman" w:hAnsi="Times New Roman" w:cs="Times New Roman"/>
        </w:rPr>
        <w:t xml:space="preserve">REES aura 1 mois pour se prononcer à compter de la date de </w:t>
      </w:r>
      <w:r w:rsidR="003A2921">
        <w:rPr>
          <w:rFonts w:ascii="Times New Roman" w:hAnsi="Times New Roman" w:cs="Times New Roman"/>
        </w:rPr>
        <w:t xml:space="preserve">sa </w:t>
      </w:r>
      <w:r>
        <w:rPr>
          <w:rFonts w:ascii="Times New Roman" w:hAnsi="Times New Roman" w:cs="Times New Roman"/>
        </w:rPr>
        <w:t>saisine par l’Institut</w:t>
      </w:r>
      <w:r w:rsidR="003A2921">
        <w:rPr>
          <w:rFonts w:ascii="Times New Roman" w:hAnsi="Times New Roman" w:cs="Times New Roman"/>
        </w:rPr>
        <w:t>.</w:t>
      </w:r>
      <w:r>
        <w:rPr>
          <w:rFonts w:ascii="Times New Roman" w:hAnsi="Times New Roman" w:cs="Times New Roman"/>
        </w:rPr>
        <w:t xml:space="preserve"> </w:t>
      </w:r>
      <w:r w:rsidR="003A2921" w:rsidRPr="003A2921">
        <w:rPr>
          <w:rFonts w:ascii="Times New Roman" w:hAnsi="Times New Roman" w:cs="Times New Roman"/>
        </w:rPr>
        <w:t xml:space="preserve">Le délai d’instruction initial par l’Institut n’est </w:t>
      </w:r>
      <w:r w:rsidR="003A2921">
        <w:rPr>
          <w:rFonts w:ascii="Times New Roman" w:hAnsi="Times New Roman" w:cs="Times New Roman"/>
        </w:rPr>
        <w:t xml:space="preserve">donc </w:t>
      </w:r>
      <w:r w:rsidR="003A2921" w:rsidRPr="003A2921">
        <w:rPr>
          <w:rFonts w:ascii="Times New Roman" w:hAnsi="Times New Roman" w:cs="Times New Roman"/>
        </w:rPr>
        <w:t xml:space="preserve">pas pris en compte. </w:t>
      </w:r>
    </w:p>
    <w:p w14:paraId="47B2274E" w14:textId="29DDFCCD" w:rsidR="001126F4" w:rsidRPr="00F24923" w:rsidRDefault="003A2921" w:rsidP="003A2921">
      <w:pPr>
        <w:ind w:left="1843"/>
        <w:jc w:val="both"/>
        <w:rPr>
          <w:rFonts w:ascii="Times New Roman" w:hAnsi="Times New Roman" w:cs="Times New Roman"/>
        </w:rPr>
      </w:pPr>
      <w:r w:rsidRPr="003A2921">
        <w:rPr>
          <w:rFonts w:ascii="Times New Roman" w:hAnsi="Times New Roman" w:cs="Times New Roman"/>
        </w:rPr>
        <w:t>Un dossier soumis à tort dans le cadre de la procédure simplifiée p</w:t>
      </w:r>
      <w:r>
        <w:rPr>
          <w:rFonts w:ascii="Times New Roman" w:hAnsi="Times New Roman" w:cs="Times New Roman"/>
        </w:rPr>
        <w:t>ourrait</w:t>
      </w:r>
      <w:r w:rsidRPr="003A2921">
        <w:rPr>
          <w:rFonts w:ascii="Times New Roman" w:hAnsi="Times New Roman" w:cs="Times New Roman"/>
        </w:rPr>
        <w:t xml:space="preserve"> donc </w:t>
      </w:r>
      <w:r>
        <w:rPr>
          <w:rFonts w:ascii="Times New Roman" w:hAnsi="Times New Roman" w:cs="Times New Roman"/>
        </w:rPr>
        <w:t xml:space="preserve">perdre jusqu’à </w:t>
      </w:r>
      <w:r w:rsidRPr="003A2921">
        <w:rPr>
          <w:rFonts w:ascii="Times New Roman" w:hAnsi="Times New Roman" w:cs="Times New Roman"/>
        </w:rPr>
        <w:t>15 jours par rapport à un dossier soumis selon la procédure classique dès le départ.</w:t>
      </w:r>
    </w:p>
    <w:p w14:paraId="1EB60959" w14:textId="77777777" w:rsidR="0007518A" w:rsidRDefault="0007518A" w:rsidP="006C6225">
      <w:pPr>
        <w:jc w:val="both"/>
      </w:pPr>
    </w:p>
    <w:p w14:paraId="43356BDE" w14:textId="77777777" w:rsidR="00DE31EF" w:rsidRDefault="00DE31EF" w:rsidP="00D34F5F">
      <w:pPr>
        <w:jc w:val="both"/>
      </w:pPr>
    </w:p>
    <w:p w14:paraId="0191F02A" w14:textId="6E57AFB8" w:rsidR="001126F4" w:rsidRPr="00491BF3" w:rsidRDefault="001126F4" w:rsidP="00491BF3">
      <w:pPr>
        <w:pStyle w:val="Titre1"/>
        <w:numPr>
          <w:ilvl w:val="0"/>
          <w:numId w:val="9"/>
        </w:numPr>
        <w:rPr>
          <w:sz w:val="24"/>
          <w:szCs w:val="24"/>
          <w:u w:val="single"/>
        </w:rPr>
      </w:pPr>
      <w:bookmarkStart w:id="10" w:name="_Toc49433221"/>
      <w:r w:rsidRPr="00491BF3">
        <w:rPr>
          <w:sz w:val="24"/>
          <w:szCs w:val="24"/>
          <w:u w:val="single"/>
        </w:rPr>
        <w:t>En cas de transmission du dossier vers la procédure classique, le RT doit-il redéposer un dossier ?</w:t>
      </w:r>
      <w:bookmarkEnd w:id="10"/>
    </w:p>
    <w:p w14:paraId="7377EF2C" w14:textId="77777777" w:rsidR="00DE31EF" w:rsidRDefault="00DE31EF" w:rsidP="00D34F5F">
      <w:pPr>
        <w:jc w:val="both"/>
      </w:pPr>
    </w:p>
    <w:p w14:paraId="5B1F6EC8" w14:textId="77777777" w:rsidR="00DE31EF" w:rsidRDefault="00DE31EF" w:rsidP="00D34F5F">
      <w:pPr>
        <w:jc w:val="both"/>
      </w:pPr>
    </w:p>
    <w:p w14:paraId="28DFD7E4" w14:textId="06AE0D2C" w:rsidR="001126F4" w:rsidRDefault="001126F4" w:rsidP="001126F4">
      <w:pPr>
        <w:jc w:val="both"/>
        <w:rPr>
          <w:rFonts w:ascii="Times New Roman" w:hAnsi="Times New Roman" w:cs="Times New Roman"/>
        </w:rPr>
      </w:pPr>
      <w:r w:rsidRPr="00C107F2">
        <w:rPr>
          <w:rFonts w:ascii="Times New Roman" w:hAnsi="Times New Roman" w:cs="Times New Roman"/>
        </w:rPr>
        <w:t xml:space="preserve">Quelle que soit la procédure dont relève le dossier, les pièces constitutives du dossier classique étant nécessairement soumises (un protocole, un résumé, une déclaration d’intérêts, les avis scientifiques ou éthiques antérieurement rendus, etc…) le basculement d’une procédure à l’autre pourra s’opérer sans contrainte supplémentaire pour le </w:t>
      </w:r>
      <w:r>
        <w:rPr>
          <w:rFonts w:ascii="Times New Roman" w:hAnsi="Times New Roman" w:cs="Times New Roman"/>
        </w:rPr>
        <w:t>RT</w:t>
      </w:r>
      <w:r w:rsidRPr="00C107F2">
        <w:rPr>
          <w:rFonts w:ascii="Times New Roman" w:hAnsi="Times New Roman" w:cs="Times New Roman"/>
        </w:rPr>
        <w:t xml:space="preserve">. </w:t>
      </w:r>
    </w:p>
    <w:p w14:paraId="02A83724" w14:textId="77777777" w:rsidR="00FF182F" w:rsidRDefault="00FF182F" w:rsidP="001126F4">
      <w:pPr>
        <w:jc w:val="both"/>
        <w:rPr>
          <w:rFonts w:ascii="Times New Roman" w:hAnsi="Times New Roman" w:cs="Times New Roman"/>
        </w:rPr>
      </w:pPr>
    </w:p>
    <w:p w14:paraId="1E2D37C5" w14:textId="48552DDD" w:rsidR="001126F4" w:rsidRPr="00C107F2" w:rsidRDefault="001126F4" w:rsidP="001126F4">
      <w:pPr>
        <w:jc w:val="both"/>
        <w:rPr>
          <w:rFonts w:ascii="Times New Roman" w:hAnsi="Times New Roman" w:cs="Times New Roman"/>
        </w:rPr>
      </w:pPr>
      <w:r w:rsidRPr="00C107F2">
        <w:rPr>
          <w:rFonts w:ascii="Times New Roman" w:hAnsi="Times New Roman" w:cs="Times New Roman"/>
        </w:rPr>
        <w:t xml:space="preserve">Seule </w:t>
      </w:r>
      <w:r w:rsidR="00FF182F">
        <w:rPr>
          <w:rFonts w:ascii="Times New Roman" w:hAnsi="Times New Roman" w:cs="Times New Roman"/>
        </w:rPr>
        <w:t xml:space="preserve">la demande d’autorisation CNIL signée devra être transmise pour permettre à </w:t>
      </w:r>
      <w:r w:rsidR="00C22B09">
        <w:rPr>
          <w:rFonts w:ascii="Times New Roman" w:hAnsi="Times New Roman" w:cs="Times New Roman"/>
        </w:rPr>
        <w:t>La Plateforme des données de santé</w:t>
      </w:r>
      <w:r w:rsidR="00FF182F">
        <w:rPr>
          <w:rFonts w:ascii="Times New Roman" w:hAnsi="Times New Roman" w:cs="Times New Roman"/>
        </w:rPr>
        <w:t>, une fois l’avis du CE</w:t>
      </w:r>
      <w:r w:rsidR="00C22B09">
        <w:rPr>
          <w:rFonts w:ascii="Times New Roman" w:hAnsi="Times New Roman" w:cs="Times New Roman"/>
        </w:rPr>
        <w:t>S</w:t>
      </w:r>
      <w:r w:rsidR="00FF182F">
        <w:rPr>
          <w:rFonts w:ascii="Times New Roman" w:hAnsi="Times New Roman" w:cs="Times New Roman"/>
        </w:rPr>
        <w:t>REES rendu, de déposer l</w:t>
      </w:r>
      <w:r w:rsidR="00E37CFE">
        <w:rPr>
          <w:rFonts w:ascii="Times New Roman" w:hAnsi="Times New Roman" w:cs="Times New Roman"/>
        </w:rPr>
        <w:t>e</w:t>
      </w:r>
      <w:r w:rsidR="00FF182F">
        <w:rPr>
          <w:rFonts w:ascii="Times New Roman" w:hAnsi="Times New Roman" w:cs="Times New Roman"/>
        </w:rPr>
        <w:t xml:space="preserve"> dossier pour autorisation auprès de la Commission.</w:t>
      </w:r>
    </w:p>
    <w:p w14:paraId="6705D71E" w14:textId="77777777" w:rsidR="00FF182F" w:rsidRDefault="00FF182F" w:rsidP="00D34F5F">
      <w:pPr>
        <w:jc w:val="both"/>
      </w:pPr>
    </w:p>
    <w:p w14:paraId="33068EC7" w14:textId="77777777" w:rsidR="00E37CFE" w:rsidRDefault="00E37CFE">
      <w:pPr>
        <w:rPr>
          <w:rFonts w:asciiTheme="majorHAnsi" w:eastAsiaTheme="majorEastAsia" w:hAnsiTheme="majorHAnsi" w:cstheme="majorBidi"/>
          <w:color w:val="2F5496" w:themeColor="accent1" w:themeShade="BF"/>
          <w:u w:val="single"/>
        </w:rPr>
      </w:pPr>
      <w:r>
        <w:rPr>
          <w:u w:val="single"/>
        </w:rPr>
        <w:br w:type="page"/>
      </w:r>
    </w:p>
    <w:p w14:paraId="48F2F5E8" w14:textId="39A967F9" w:rsidR="00C601B6" w:rsidRPr="00491BF3" w:rsidRDefault="00E37CFE" w:rsidP="00491BF3">
      <w:pPr>
        <w:pStyle w:val="Titre1"/>
        <w:numPr>
          <w:ilvl w:val="0"/>
          <w:numId w:val="9"/>
        </w:numPr>
        <w:rPr>
          <w:sz w:val="24"/>
          <w:szCs w:val="24"/>
          <w:u w:val="single"/>
        </w:rPr>
      </w:pPr>
      <w:bookmarkStart w:id="11" w:name="_Toc49433222"/>
      <w:r>
        <w:rPr>
          <w:sz w:val="24"/>
          <w:szCs w:val="24"/>
          <w:u w:val="single"/>
        </w:rPr>
        <w:lastRenderedPageBreak/>
        <w:t>Synthèse</w:t>
      </w:r>
      <w:bookmarkEnd w:id="11"/>
    </w:p>
    <w:p w14:paraId="2BD0911C" w14:textId="77777777" w:rsidR="00D67C52" w:rsidRPr="00D67C52" w:rsidRDefault="00D67C52" w:rsidP="007540DE">
      <w:pPr>
        <w:jc w:val="both"/>
      </w:pPr>
    </w:p>
    <w:p w14:paraId="7B5BB21D" w14:textId="77777777" w:rsidR="00C438B3" w:rsidRPr="00D67C52" w:rsidRDefault="00C438B3" w:rsidP="007540DE">
      <w:pPr>
        <w:jc w:val="both"/>
      </w:pPr>
    </w:p>
    <w:tbl>
      <w:tblPr>
        <w:tblStyle w:val="Grilledutableau"/>
        <w:tblW w:w="9193" w:type="dxa"/>
        <w:tblLook w:val="04A0" w:firstRow="1" w:lastRow="0" w:firstColumn="1" w:lastColumn="0" w:noHBand="0" w:noVBand="1"/>
      </w:tblPr>
      <w:tblGrid>
        <w:gridCol w:w="2122"/>
        <w:gridCol w:w="3402"/>
        <w:gridCol w:w="3669"/>
      </w:tblGrid>
      <w:tr w:rsidR="00D67C52" w:rsidRPr="00D67C52" w14:paraId="5A38A89D" w14:textId="77777777" w:rsidTr="00D22C30">
        <w:trPr>
          <w:trHeight w:val="381"/>
        </w:trPr>
        <w:tc>
          <w:tcPr>
            <w:tcW w:w="2122" w:type="dxa"/>
            <w:tcBorders>
              <w:tl2br w:val="single" w:sz="4" w:space="0" w:color="auto"/>
            </w:tcBorders>
            <w:vAlign w:val="center"/>
          </w:tcPr>
          <w:p w14:paraId="07CD05AA" w14:textId="77777777" w:rsidR="00D67C52" w:rsidRPr="00D67C52" w:rsidRDefault="00D67C52" w:rsidP="00D67C52">
            <w:pPr>
              <w:ind w:left="708"/>
              <w:rPr>
                <w:b/>
              </w:rPr>
            </w:pPr>
            <w:r w:rsidRPr="00D67C52">
              <w:rPr>
                <w:b/>
              </w:rPr>
              <w:t>Procédures</w:t>
            </w:r>
          </w:p>
          <w:p w14:paraId="5F5EF970" w14:textId="77777777" w:rsidR="00D67C52" w:rsidRPr="00D67C52" w:rsidRDefault="00D67C52" w:rsidP="00D67C52">
            <w:pPr>
              <w:jc w:val="center"/>
              <w:rPr>
                <w:b/>
              </w:rPr>
            </w:pPr>
          </w:p>
          <w:p w14:paraId="59941DBF" w14:textId="77777777" w:rsidR="00D67C52" w:rsidRPr="00D67C52" w:rsidRDefault="00D67C52" w:rsidP="00D67C52">
            <w:pPr>
              <w:rPr>
                <w:b/>
              </w:rPr>
            </w:pPr>
          </w:p>
          <w:p w14:paraId="2245FCFC" w14:textId="77777777" w:rsidR="00D67C52" w:rsidRPr="00D67C52" w:rsidRDefault="00D67C52" w:rsidP="00DE7FAA">
            <w:pPr>
              <w:rPr>
                <w:b/>
              </w:rPr>
            </w:pPr>
            <w:r w:rsidRPr="00D67C52">
              <w:rPr>
                <w:b/>
              </w:rPr>
              <w:t>Conditions</w:t>
            </w:r>
          </w:p>
        </w:tc>
        <w:tc>
          <w:tcPr>
            <w:tcW w:w="3402" w:type="dxa"/>
            <w:vAlign w:val="center"/>
          </w:tcPr>
          <w:p w14:paraId="720705CB" w14:textId="77777777" w:rsidR="00D67C52" w:rsidRPr="00D67C52" w:rsidRDefault="00D67C52" w:rsidP="00D67C52">
            <w:pPr>
              <w:jc w:val="center"/>
              <w:rPr>
                <w:b/>
              </w:rPr>
            </w:pPr>
            <w:r w:rsidRPr="00D67C52">
              <w:rPr>
                <w:b/>
              </w:rPr>
              <w:t>Procédure Classique</w:t>
            </w:r>
          </w:p>
        </w:tc>
        <w:tc>
          <w:tcPr>
            <w:tcW w:w="3669" w:type="dxa"/>
            <w:vAlign w:val="center"/>
          </w:tcPr>
          <w:p w14:paraId="12762A12" w14:textId="77777777" w:rsidR="00D67C52" w:rsidRPr="00D67C52" w:rsidRDefault="00D67C52" w:rsidP="00D67C52">
            <w:pPr>
              <w:jc w:val="center"/>
              <w:rPr>
                <w:b/>
              </w:rPr>
            </w:pPr>
            <w:r w:rsidRPr="00D67C52">
              <w:rPr>
                <w:b/>
              </w:rPr>
              <w:t>Procédure Simplifiée</w:t>
            </w:r>
          </w:p>
        </w:tc>
      </w:tr>
      <w:tr w:rsidR="00FF182F" w:rsidRPr="00D67C52" w14:paraId="2BB5D0EB" w14:textId="77777777" w:rsidTr="00491BF3">
        <w:trPr>
          <w:trHeight w:val="1691"/>
        </w:trPr>
        <w:tc>
          <w:tcPr>
            <w:tcW w:w="2122" w:type="dxa"/>
            <w:shd w:val="clear" w:color="auto" w:fill="auto"/>
            <w:vAlign w:val="center"/>
          </w:tcPr>
          <w:p w14:paraId="4AA97217" w14:textId="75606332" w:rsidR="00FF182F" w:rsidRPr="00D67C52" w:rsidRDefault="00FF182F" w:rsidP="00D67C52">
            <w:pPr>
              <w:jc w:val="center"/>
            </w:pPr>
            <w:r>
              <w:t xml:space="preserve">Preuve du caractère d’intérêt </w:t>
            </w:r>
            <w:r w:rsidR="005B435B">
              <w:t xml:space="preserve">public </w:t>
            </w:r>
            <w:r>
              <w:t>de l’étude</w:t>
            </w:r>
          </w:p>
        </w:tc>
        <w:tc>
          <w:tcPr>
            <w:tcW w:w="7071" w:type="dxa"/>
            <w:gridSpan w:val="2"/>
            <w:shd w:val="clear" w:color="auto" w:fill="auto"/>
            <w:vAlign w:val="center"/>
          </w:tcPr>
          <w:p w14:paraId="2BA7B13F" w14:textId="77777777" w:rsidR="00FF182F" w:rsidRDefault="00FF182F" w:rsidP="009D7B01">
            <w:pPr>
              <w:jc w:val="center"/>
            </w:pPr>
          </w:p>
          <w:p w14:paraId="08B72828" w14:textId="0DCA7EE3" w:rsidR="00FF182F" w:rsidRPr="00D67C52" w:rsidRDefault="00FF182F" w:rsidP="009D7B01">
            <w:pPr>
              <w:jc w:val="center"/>
            </w:pPr>
            <w:r>
              <w:t>A justifier</w:t>
            </w:r>
          </w:p>
          <w:p w14:paraId="79123256" w14:textId="2C72788C" w:rsidR="00FF182F" w:rsidRDefault="00FF182F" w:rsidP="009D7B01">
            <w:pPr>
              <w:jc w:val="center"/>
            </w:pPr>
          </w:p>
          <w:p w14:paraId="223A254D" w14:textId="35A0E8DD" w:rsidR="00FF182F" w:rsidRPr="00D67C52" w:rsidRDefault="00FF182F">
            <w:pPr>
              <w:jc w:val="center"/>
            </w:pPr>
          </w:p>
        </w:tc>
      </w:tr>
      <w:tr w:rsidR="00D67C52" w:rsidRPr="00D67C52" w14:paraId="21BDDD32" w14:textId="77777777" w:rsidTr="00491BF3">
        <w:trPr>
          <w:trHeight w:val="1672"/>
        </w:trPr>
        <w:tc>
          <w:tcPr>
            <w:tcW w:w="2122" w:type="dxa"/>
            <w:shd w:val="clear" w:color="auto" w:fill="F2F2F2" w:themeFill="background1" w:themeFillShade="F2"/>
            <w:vAlign w:val="center"/>
          </w:tcPr>
          <w:p w14:paraId="791C87F5" w14:textId="06391521" w:rsidR="00D67C52" w:rsidRPr="00D67C52" w:rsidRDefault="00041B2D" w:rsidP="00D67C52">
            <w:pPr>
              <w:jc w:val="center"/>
            </w:pPr>
            <w:r>
              <w:t>P</w:t>
            </w:r>
            <w:r w:rsidR="00E32B67">
              <w:t>reuve de la p</w:t>
            </w:r>
            <w:r>
              <w:t>ertinence scientifique du projet</w:t>
            </w:r>
          </w:p>
        </w:tc>
        <w:tc>
          <w:tcPr>
            <w:tcW w:w="3402" w:type="dxa"/>
            <w:shd w:val="clear" w:color="auto" w:fill="F2F2F2" w:themeFill="background1" w:themeFillShade="F2"/>
            <w:vAlign w:val="center"/>
          </w:tcPr>
          <w:p w14:paraId="5698B1DF" w14:textId="06CD5626" w:rsidR="00D67C52" w:rsidRPr="00D67C52" w:rsidRDefault="00FF182F" w:rsidP="00D67C52">
            <w:pPr>
              <w:jc w:val="center"/>
            </w:pPr>
            <w:r>
              <w:t xml:space="preserve"> CE</w:t>
            </w:r>
            <w:r w:rsidR="00C22B09">
              <w:t>S</w:t>
            </w:r>
            <w:r>
              <w:t>REES</w:t>
            </w:r>
          </w:p>
        </w:tc>
        <w:tc>
          <w:tcPr>
            <w:tcW w:w="3669" w:type="dxa"/>
            <w:shd w:val="clear" w:color="auto" w:fill="F2F2F2" w:themeFill="background1" w:themeFillShade="F2"/>
            <w:vAlign w:val="center"/>
          </w:tcPr>
          <w:p w14:paraId="72CAE94D" w14:textId="39AFC78C" w:rsidR="00D67C52" w:rsidRDefault="00C22B09" w:rsidP="00D67C52">
            <w:pPr>
              <w:jc w:val="center"/>
            </w:pPr>
            <w:r>
              <w:t>É</w:t>
            </w:r>
            <w:r w:rsidR="00C02CB1">
              <w:t xml:space="preserve">valuation </w:t>
            </w:r>
            <w:r w:rsidR="00FF182F">
              <w:t xml:space="preserve">à produire </w:t>
            </w:r>
          </w:p>
          <w:p w14:paraId="3AEC9932" w14:textId="04539F10" w:rsidR="00FF182F" w:rsidRPr="00D67C52" w:rsidRDefault="00FF182F" w:rsidP="00D67C52">
            <w:pPr>
              <w:jc w:val="center"/>
            </w:pPr>
            <w:r>
              <w:t>(3 avis d’experts externes au RT dont 2 issus de spécialités différentes)</w:t>
            </w:r>
          </w:p>
        </w:tc>
      </w:tr>
      <w:tr w:rsidR="00041B2D" w14:paraId="3FA2012C" w14:textId="77777777" w:rsidTr="00DE7FAA">
        <w:trPr>
          <w:trHeight w:val="1571"/>
        </w:trPr>
        <w:tc>
          <w:tcPr>
            <w:tcW w:w="2122" w:type="dxa"/>
            <w:vAlign w:val="center"/>
          </w:tcPr>
          <w:p w14:paraId="0BDB8C54" w14:textId="77777777" w:rsidR="00152C99" w:rsidRDefault="00152C99" w:rsidP="00152C99">
            <w:pPr>
              <w:jc w:val="center"/>
            </w:pPr>
            <w:r>
              <w:t xml:space="preserve">Durée d’accès </w:t>
            </w:r>
          </w:p>
          <w:p w14:paraId="00A318BC" w14:textId="52FA6AB5" w:rsidR="00041B2D" w:rsidRDefault="00041B2D" w:rsidP="00152C99">
            <w:pPr>
              <w:jc w:val="center"/>
            </w:pPr>
          </w:p>
        </w:tc>
        <w:tc>
          <w:tcPr>
            <w:tcW w:w="3402" w:type="dxa"/>
            <w:vAlign w:val="center"/>
          </w:tcPr>
          <w:p w14:paraId="365EF8F3" w14:textId="3EAB0A90" w:rsidR="00041B2D" w:rsidRDefault="00491BF3" w:rsidP="00152C99">
            <w:pPr>
              <w:jc w:val="center"/>
            </w:pPr>
            <w:r>
              <w:t>Autorisée au cas par cas par la CNIL</w:t>
            </w:r>
          </w:p>
          <w:p w14:paraId="0BF889D7" w14:textId="4DDB27EF" w:rsidR="009D7B01" w:rsidRDefault="009D7B01" w:rsidP="00152C99">
            <w:pPr>
              <w:jc w:val="center"/>
            </w:pPr>
          </w:p>
        </w:tc>
        <w:tc>
          <w:tcPr>
            <w:tcW w:w="3669" w:type="dxa"/>
            <w:vAlign w:val="center"/>
          </w:tcPr>
          <w:p w14:paraId="58CCB0A8" w14:textId="1433E9E7" w:rsidR="00041B2D" w:rsidRDefault="00A536FD">
            <w:pPr>
              <w:jc w:val="center"/>
            </w:pPr>
            <w:r>
              <w:sym w:font="Symbol" w:char="F0A3"/>
            </w:r>
            <w:r>
              <w:t xml:space="preserve"> </w:t>
            </w:r>
            <w:r w:rsidR="00C87E48">
              <w:t>2 ans</w:t>
            </w:r>
          </w:p>
        </w:tc>
      </w:tr>
      <w:tr w:rsidR="00C87E48" w14:paraId="424C6918" w14:textId="77777777" w:rsidTr="00491BF3">
        <w:trPr>
          <w:trHeight w:val="1540"/>
        </w:trPr>
        <w:tc>
          <w:tcPr>
            <w:tcW w:w="2122" w:type="dxa"/>
            <w:shd w:val="clear" w:color="auto" w:fill="F2F2F2" w:themeFill="background1" w:themeFillShade="F2"/>
            <w:vAlign w:val="center"/>
          </w:tcPr>
          <w:p w14:paraId="4513D8F0" w14:textId="65B419CF" w:rsidR="00C87E48" w:rsidRDefault="00C87E48" w:rsidP="00C87E48">
            <w:pPr>
              <w:jc w:val="center"/>
            </w:pPr>
            <w:r>
              <w:t>Croisement des identifiants potentiels</w:t>
            </w:r>
          </w:p>
        </w:tc>
        <w:tc>
          <w:tcPr>
            <w:tcW w:w="3402" w:type="dxa"/>
            <w:shd w:val="clear" w:color="auto" w:fill="F2F2F2" w:themeFill="background1" w:themeFillShade="F2"/>
            <w:vAlign w:val="center"/>
          </w:tcPr>
          <w:p w14:paraId="4A8701BF" w14:textId="77777777" w:rsidR="009D7B01" w:rsidRDefault="009D7B01" w:rsidP="009D7B01">
            <w:pPr>
              <w:jc w:val="center"/>
            </w:pPr>
          </w:p>
          <w:p w14:paraId="31767C8A" w14:textId="2EB3EDDC" w:rsidR="009D7B01" w:rsidRDefault="009D7B01" w:rsidP="009D7B01">
            <w:pPr>
              <w:jc w:val="center"/>
            </w:pPr>
            <w:r>
              <w:t>Possible</w:t>
            </w:r>
          </w:p>
          <w:p w14:paraId="257654DE" w14:textId="494EFE74" w:rsidR="00C87E48" w:rsidRDefault="00C87E48" w:rsidP="00C87E48">
            <w:pPr>
              <w:jc w:val="center"/>
            </w:pPr>
          </w:p>
        </w:tc>
        <w:tc>
          <w:tcPr>
            <w:tcW w:w="3669" w:type="dxa"/>
            <w:shd w:val="clear" w:color="auto" w:fill="F2F2F2" w:themeFill="background1" w:themeFillShade="F2"/>
            <w:vAlign w:val="center"/>
          </w:tcPr>
          <w:p w14:paraId="47A28EC8" w14:textId="76848353" w:rsidR="00C87E48" w:rsidRDefault="009D7B01" w:rsidP="00C87E48">
            <w:pPr>
              <w:jc w:val="center"/>
            </w:pPr>
            <w:r>
              <w:t>Impossible</w:t>
            </w:r>
          </w:p>
        </w:tc>
      </w:tr>
      <w:tr w:rsidR="00C87E48" w14:paraId="6B277255" w14:textId="77777777" w:rsidTr="00DE7FAA">
        <w:trPr>
          <w:trHeight w:val="1558"/>
        </w:trPr>
        <w:tc>
          <w:tcPr>
            <w:tcW w:w="2122" w:type="dxa"/>
            <w:vAlign w:val="center"/>
          </w:tcPr>
          <w:p w14:paraId="0868A0C7" w14:textId="5A0D5BFB" w:rsidR="00C87E48" w:rsidRDefault="009D7B01" w:rsidP="00C87E48">
            <w:pPr>
              <w:jc w:val="center"/>
            </w:pPr>
            <w:r>
              <w:t>Modalité d’a</w:t>
            </w:r>
            <w:r w:rsidR="00C87E48">
              <w:t>ccès aux données</w:t>
            </w:r>
          </w:p>
        </w:tc>
        <w:tc>
          <w:tcPr>
            <w:tcW w:w="3402" w:type="dxa"/>
            <w:vAlign w:val="center"/>
          </w:tcPr>
          <w:p w14:paraId="0823B59B" w14:textId="03D83EB9" w:rsidR="009D7B01" w:rsidRDefault="00C22B09" w:rsidP="00C87E48">
            <w:pPr>
              <w:jc w:val="center"/>
            </w:pPr>
            <w:r>
              <w:t>3</w:t>
            </w:r>
            <w:r w:rsidR="009D7B01">
              <w:t xml:space="preserve"> modalités possibles :</w:t>
            </w:r>
          </w:p>
          <w:p w14:paraId="0BC83E8B" w14:textId="77777777" w:rsidR="009D7B01" w:rsidRDefault="009D7B01" w:rsidP="00C87E48">
            <w:pPr>
              <w:jc w:val="center"/>
            </w:pPr>
          </w:p>
          <w:p w14:paraId="1BD0EF7D" w14:textId="22AAEB09" w:rsidR="009D7B01" w:rsidRDefault="009D7B01" w:rsidP="009D7B01">
            <w:pPr>
              <w:jc w:val="center"/>
            </w:pPr>
            <w:r>
              <w:t xml:space="preserve">Portail </w:t>
            </w:r>
            <w:r w:rsidR="00C22B09">
              <w:t>CNAM, Portail HDH</w:t>
            </w:r>
            <w:r>
              <w:t xml:space="preserve"> ou Export de données</w:t>
            </w:r>
          </w:p>
          <w:p w14:paraId="30ECAAB7" w14:textId="4D8E8127" w:rsidR="00C87E48" w:rsidRDefault="00C87E48" w:rsidP="00C87E48">
            <w:pPr>
              <w:jc w:val="center"/>
            </w:pPr>
          </w:p>
        </w:tc>
        <w:tc>
          <w:tcPr>
            <w:tcW w:w="3669" w:type="dxa"/>
            <w:vAlign w:val="center"/>
          </w:tcPr>
          <w:p w14:paraId="633EEB82" w14:textId="5BBD5059" w:rsidR="009D7B01" w:rsidRDefault="009D7B01" w:rsidP="00C87E48">
            <w:pPr>
              <w:jc w:val="center"/>
            </w:pPr>
            <w:r>
              <w:t xml:space="preserve">1 </w:t>
            </w:r>
            <w:r w:rsidR="00710A18">
              <w:t xml:space="preserve">seule </w:t>
            </w:r>
            <w:r>
              <w:t xml:space="preserve">modalité possible : </w:t>
            </w:r>
          </w:p>
          <w:p w14:paraId="025DFFB5" w14:textId="04617E3E" w:rsidR="00C87E48" w:rsidRDefault="00C87E48" w:rsidP="00C87E48">
            <w:pPr>
              <w:jc w:val="center"/>
            </w:pPr>
            <w:r>
              <w:t xml:space="preserve">Portail </w:t>
            </w:r>
            <w:r w:rsidR="00C22B09">
              <w:t>CNAM</w:t>
            </w:r>
          </w:p>
        </w:tc>
      </w:tr>
      <w:tr w:rsidR="009D7B01" w14:paraId="361B462C" w14:textId="77777777" w:rsidTr="00491BF3">
        <w:trPr>
          <w:trHeight w:val="1558"/>
        </w:trPr>
        <w:tc>
          <w:tcPr>
            <w:tcW w:w="2122" w:type="dxa"/>
            <w:shd w:val="clear" w:color="auto" w:fill="F2F2F2" w:themeFill="background1" w:themeFillShade="F2"/>
          </w:tcPr>
          <w:p w14:paraId="54C14871" w14:textId="1B3C2C8A" w:rsidR="009D7B01" w:rsidRDefault="009D7B01" w:rsidP="00FA7E63">
            <w:pPr>
              <w:jc w:val="center"/>
            </w:pPr>
            <w:r>
              <w:t>Acteurs impliqués dans l</w:t>
            </w:r>
            <w:r w:rsidR="00AC165C">
              <w:t>a procédure d’autorisation</w:t>
            </w:r>
          </w:p>
        </w:tc>
        <w:tc>
          <w:tcPr>
            <w:tcW w:w="3402" w:type="dxa"/>
            <w:shd w:val="clear" w:color="auto" w:fill="F2F2F2" w:themeFill="background1" w:themeFillShade="F2"/>
          </w:tcPr>
          <w:p w14:paraId="42C0FE18" w14:textId="77777777" w:rsidR="00491BF3" w:rsidRDefault="00491BF3" w:rsidP="00FA7E63">
            <w:pPr>
              <w:jc w:val="center"/>
            </w:pPr>
          </w:p>
          <w:p w14:paraId="30CFADCB" w14:textId="75A4446C" w:rsidR="009D7B01" w:rsidRDefault="00C22B09" w:rsidP="00FA7E63">
            <w:pPr>
              <w:jc w:val="center"/>
            </w:pPr>
            <w:r>
              <w:t>HDH</w:t>
            </w:r>
            <w:r w:rsidR="009D7B01">
              <w:t xml:space="preserve"> + CE</w:t>
            </w:r>
            <w:r>
              <w:t>S</w:t>
            </w:r>
            <w:r w:rsidR="009D7B01">
              <w:t>REES + CNIL</w:t>
            </w:r>
          </w:p>
          <w:p w14:paraId="2A4B251B" w14:textId="77777777" w:rsidR="009D7B01" w:rsidRDefault="009D7B01" w:rsidP="00FA7E63">
            <w:pPr>
              <w:jc w:val="center"/>
            </w:pPr>
          </w:p>
        </w:tc>
        <w:tc>
          <w:tcPr>
            <w:tcW w:w="3669" w:type="dxa"/>
            <w:shd w:val="clear" w:color="auto" w:fill="F2F2F2" w:themeFill="background1" w:themeFillShade="F2"/>
          </w:tcPr>
          <w:p w14:paraId="00E0B903" w14:textId="77777777" w:rsidR="00491BF3" w:rsidRDefault="00491BF3" w:rsidP="00FA7E63">
            <w:pPr>
              <w:jc w:val="center"/>
            </w:pPr>
          </w:p>
          <w:p w14:paraId="3A3C4B23" w14:textId="6F0032A8" w:rsidR="009D7B01" w:rsidRDefault="00C22B09" w:rsidP="00FA7E63">
            <w:pPr>
              <w:jc w:val="center"/>
            </w:pPr>
            <w:r>
              <w:t>HDH</w:t>
            </w:r>
          </w:p>
        </w:tc>
      </w:tr>
      <w:tr w:rsidR="009D7B01" w14:paraId="28D730B4" w14:textId="77777777" w:rsidTr="009D7B01">
        <w:trPr>
          <w:trHeight w:val="1558"/>
        </w:trPr>
        <w:tc>
          <w:tcPr>
            <w:tcW w:w="2122" w:type="dxa"/>
          </w:tcPr>
          <w:p w14:paraId="00CE953E" w14:textId="5F7C02CF" w:rsidR="009D7B01" w:rsidRDefault="009D7B01" w:rsidP="00FA7E63">
            <w:pPr>
              <w:jc w:val="center"/>
            </w:pPr>
            <w:r>
              <w:t>Pièces constitutives du dossier</w:t>
            </w:r>
          </w:p>
        </w:tc>
        <w:tc>
          <w:tcPr>
            <w:tcW w:w="3402" w:type="dxa"/>
          </w:tcPr>
          <w:p w14:paraId="10401855" w14:textId="03E7BA8E" w:rsidR="009D7B01" w:rsidRDefault="009D7B01" w:rsidP="00C107F2">
            <w:pPr>
              <w:pStyle w:val="Paragraphedeliste"/>
              <w:numPr>
                <w:ilvl w:val="0"/>
                <w:numId w:val="6"/>
              </w:numPr>
              <w:ind w:left="322" w:hanging="142"/>
              <w:jc w:val="center"/>
            </w:pPr>
            <w:r>
              <w:t>Protocole</w:t>
            </w:r>
          </w:p>
          <w:p w14:paraId="537814A9" w14:textId="422334A3" w:rsidR="009D7B01" w:rsidRDefault="009D7B01" w:rsidP="00C107F2">
            <w:pPr>
              <w:pStyle w:val="Paragraphedeliste"/>
              <w:numPr>
                <w:ilvl w:val="0"/>
                <w:numId w:val="6"/>
              </w:numPr>
              <w:ind w:left="322" w:hanging="142"/>
              <w:jc w:val="center"/>
            </w:pPr>
            <w:r>
              <w:t>Résumé</w:t>
            </w:r>
          </w:p>
          <w:p w14:paraId="40BD8850" w14:textId="5015C6E7" w:rsidR="009D7B01" w:rsidRDefault="009D7B01" w:rsidP="00C107F2">
            <w:pPr>
              <w:pStyle w:val="Paragraphedeliste"/>
              <w:numPr>
                <w:ilvl w:val="0"/>
                <w:numId w:val="6"/>
              </w:numPr>
              <w:ind w:left="322" w:hanging="142"/>
              <w:jc w:val="center"/>
            </w:pPr>
            <w:r>
              <w:t>Déclarations d’intérêt</w:t>
            </w:r>
          </w:p>
          <w:p w14:paraId="6E7C73C4" w14:textId="2FCE05D3" w:rsidR="009D7B01" w:rsidRDefault="009D7B01" w:rsidP="00C107F2">
            <w:pPr>
              <w:pStyle w:val="Paragraphedeliste"/>
              <w:numPr>
                <w:ilvl w:val="0"/>
                <w:numId w:val="6"/>
              </w:numPr>
              <w:ind w:left="322" w:hanging="142"/>
              <w:jc w:val="center"/>
            </w:pPr>
            <w:r>
              <w:t>Demande autorisation CNIL</w:t>
            </w:r>
          </w:p>
          <w:p w14:paraId="05F24030" w14:textId="77777777" w:rsidR="009D7B01" w:rsidRDefault="009D7B01" w:rsidP="00FA7E63">
            <w:pPr>
              <w:jc w:val="center"/>
            </w:pPr>
          </w:p>
        </w:tc>
        <w:tc>
          <w:tcPr>
            <w:tcW w:w="3669" w:type="dxa"/>
          </w:tcPr>
          <w:p w14:paraId="400A787D" w14:textId="77777777" w:rsidR="009D7B01" w:rsidRDefault="009D7B01" w:rsidP="009D7B01">
            <w:pPr>
              <w:pStyle w:val="Paragraphedeliste"/>
              <w:numPr>
                <w:ilvl w:val="0"/>
                <w:numId w:val="6"/>
              </w:numPr>
              <w:ind w:left="322" w:hanging="142"/>
              <w:jc w:val="center"/>
            </w:pPr>
            <w:r>
              <w:t>Protocole</w:t>
            </w:r>
          </w:p>
          <w:p w14:paraId="6CBD2CCC" w14:textId="77777777" w:rsidR="009D7B01" w:rsidRDefault="009D7B01" w:rsidP="009D7B01">
            <w:pPr>
              <w:pStyle w:val="Paragraphedeliste"/>
              <w:numPr>
                <w:ilvl w:val="0"/>
                <w:numId w:val="6"/>
              </w:numPr>
              <w:ind w:left="322" w:hanging="142"/>
              <w:jc w:val="center"/>
            </w:pPr>
            <w:r>
              <w:t>Résumé</w:t>
            </w:r>
          </w:p>
          <w:p w14:paraId="306C82B3" w14:textId="77777777" w:rsidR="009D7B01" w:rsidRDefault="009D7B01" w:rsidP="009D7B01">
            <w:pPr>
              <w:pStyle w:val="Paragraphedeliste"/>
              <w:numPr>
                <w:ilvl w:val="0"/>
                <w:numId w:val="6"/>
              </w:numPr>
              <w:ind w:left="322" w:hanging="142"/>
              <w:jc w:val="center"/>
            </w:pPr>
            <w:r>
              <w:t>Déclarations d’intérêt</w:t>
            </w:r>
          </w:p>
          <w:p w14:paraId="1ED6D271" w14:textId="0836DEDD" w:rsidR="009D7B01" w:rsidRDefault="00002BDA" w:rsidP="009D7B01">
            <w:pPr>
              <w:pStyle w:val="Paragraphedeliste"/>
              <w:numPr>
                <w:ilvl w:val="0"/>
                <w:numId w:val="6"/>
              </w:numPr>
              <w:ind w:left="322" w:hanging="142"/>
              <w:jc w:val="center"/>
            </w:pPr>
            <w:r>
              <w:t>É</w:t>
            </w:r>
            <w:r w:rsidR="00C02CB1">
              <w:t>valuation</w:t>
            </w:r>
            <w:r>
              <w:t>s</w:t>
            </w:r>
            <w:r w:rsidR="00C02CB1">
              <w:t xml:space="preserve"> </w:t>
            </w:r>
            <w:r w:rsidR="009D7B01">
              <w:t>à produire</w:t>
            </w:r>
          </w:p>
          <w:p w14:paraId="5B912717" w14:textId="77777777" w:rsidR="009D7B01" w:rsidRDefault="009D7B01" w:rsidP="00C107F2">
            <w:pPr>
              <w:pStyle w:val="Paragraphedeliste"/>
              <w:ind w:left="322"/>
            </w:pPr>
          </w:p>
          <w:p w14:paraId="39951F1B" w14:textId="40741305" w:rsidR="009D7B01" w:rsidRDefault="009D7B01" w:rsidP="00FA7E63">
            <w:pPr>
              <w:jc w:val="center"/>
            </w:pPr>
          </w:p>
        </w:tc>
      </w:tr>
    </w:tbl>
    <w:p w14:paraId="25DCA4F2" w14:textId="77777777" w:rsidR="00154F12" w:rsidRPr="00D67C52" w:rsidRDefault="00154F12" w:rsidP="00974AE4">
      <w:pPr>
        <w:jc w:val="both"/>
      </w:pPr>
    </w:p>
    <w:sectPr w:rsidR="00154F12" w:rsidRPr="00D67C52" w:rsidSect="00290430">
      <w:headerReference w:type="default" r:id="rId11"/>
      <w:footerReference w:type="default" r:id="rId12"/>
      <w:pgSz w:w="11900" w:h="16840"/>
      <w:pgMar w:top="1277" w:right="1417" w:bottom="1196" w:left="1417" w:header="40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INDS" w:date="2018-07-09T11:39:00Z" w:initials="v">
    <w:p w14:paraId="3CB48F99" w14:textId="707BE1B4" w:rsidR="00C02CB1" w:rsidRDefault="00C02CB1">
      <w:pPr>
        <w:pStyle w:val="Commentaire"/>
      </w:pPr>
      <w:r>
        <w:rPr>
          <w:rStyle w:val="Marquedecommentaire"/>
        </w:rPr>
        <w:annotationRef/>
      </w:r>
      <w:r>
        <w:t>Pour Emmanuelle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B48F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B48F99" w16cid:durableId="1EEDC7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0F539" w14:textId="77777777" w:rsidR="002C58C6" w:rsidRDefault="002C58C6" w:rsidP="00AD7237">
      <w:r>
        <w:separator/>
      </w:r>
    </w:p>
  </w:endnote>
  <w:endnote w:type="continuationSeparator" w:id="0">
    <w:p w14:paraId="09B47B86" w14:textId="77777777" w:rsidR="002C58C6" w:rsidRDefault="002C58C6" w:rsidP="00AD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1CAD" w14:textId="79D8273D" w:rsidR="00491BF3" w:rsidRPr="00E37CFE" w:rsidRDefault="00491BF3">
    <w:pPr>
      <w:pStyle w:val="Pieddepage"/>
      <w:rPr>
        <w:sz w:val="18"/>
        <w:szCs w:val="18"/>
      </w:rPr>
    </w:pPr>
    <w:r w:rsidRPr="00E37CFE">
      <w:rPr>
        <w:noProof/>
        <w:color w:val="808080" w:themeColor="background1" w:themeShade="80"/>
        <w:sz w:val="18"/>
        <w:szCs w:val="18"/>
      </w:rPr>
      <mc:AlternateContent>
        <mc:Choice Requires="wpg">
          <w:drawing>
            <wp:anchor distT="0" distB="0" distL="0" distR="0" simplePos="0" relativeHeight="251662336" behindDoc="0" locked="0" layoutInCell="1" allowOverlap="1" wp14:anchorId="178428F2" wp14:editId="44239D23">
              <wp:simplePos x="0" y="0"/>
              <wp:positionH relativeFrom="margin">
                <wp:align>right</wp:align>
              </wp:positionH>
              <mc:AlternateContent>
                <mc:Choice Requires="wp14">
                  <wp:positionV relativeFrom="bottomMargin">
                    <wp14:pctPosVOffset>20000</wp14:pctPosVOffset>
                  </wp:positionV>
                </mc:Choice>
                <mc:Fallback>
                  <wp:positionV relativeFrom="page">
                    <wp:posOffset>10085705</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5EED076" w14:textId="77777777" w:rsidR="00491BF3" w:rsidRDefault="00491BF3">
                                <w:pPr>
                                  <w:jc w:val="right"/>
                                  <w:rPr>
                                    <w:color w:val="7F7F7F" w:themeColor="text1" w:themeTint="80"/>
                                  </w:rPr>
                                </w:pPr>
                                <w:r>
                                  <w:rPr>
                                    <w:color w:val="7F7F7F" w:themeColor="text1" w:themeTint="80"/>
                                  </w:rPr>
                                  <w:t>[Date]</w:t>
                                </w:r>
                              </w:p>
                            </w:sdtContent>
                          </w:sdt>
                          <w:p w14:paraId="25C0212D" w14:textId="77777777" w:rsidR="00491BF3" w:rsidRDefault="00491BF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78428F2" id="Groupe 37" o:spid="_x0000_s1026"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5EED076" w14:textId="77777777" w:rsidR="00491BF3" w:rsidRDefault="00491BF3">
                          <w:pPr>
                            <w:jc w:val="right"/>
                            <w:rPr>
                              <w:color w:val="7F7F7F" w:themeColor="text1" w:themeTint="80"/>
                            </w:rPr>
                          </w:pPr>
                          <w:r>
                            <w:rPr>
                              <w:color w:val="7F7F7F" w:themeColor="text1" w:themeTint="80"/>
                            </w:rPr>
                            <w:t>[Date]</w:t>
                          </w:r>
                        </w:p>
                      </w:sdtContent>
                    </w:sdt>
                    <w:p w14:paraId="25C0212D" w14:textId="77777777" w:rsidR="00491BF3" w:rsidRDefault="00491BF3">
                      <w:pPr>
                        <w:jc w:val="right"/>
                        <w:rPr>
                          <w:color w:val="808080" w:themeColor="background1" w:themeShade="80"/>
                        </w:rPr>
                      </w:pPr>
                    </w:p>
                  </w:txbxContent>
                </v:textbox>
              </v:shape>
              <w10:wrap type="square" anchorx="margin" anchory="margin"/>
            </v:group>
          </w:pict>
        </mc:Fallback>
      </mc:AlternateContent>
    </w:r>
    <w:r w:rsidRPr="00E37CFE">
      <w:rPr>
        <w:noProof/>
        <w:sz w:val="18"/>
        <w:szCs w:val="18"/>
      </w:rPr>
      <mc:AlternateContent>
        <mc:Choice Requires="wps">
          <w:drawing>
            <wp:anchor distT="0" distB="0" distL="0" distR="0" simplePos="0" relativeHeight="251661312" behindDoc="0" locked="0" layoutInCell="1" allowOverlap="1" wp14:anchorId="25501DA9" wp14:editId="0D8E9CFC">
              <wp:simplePos x="0" y="0"/>
              <wp:positionH relativeFrom="rightMargin">
                <wp:align>left</wp:align>
              </wp:positionH>
              <mc:AlternateContent>
                <mc:Choice Requires="wp14">
                  <wp:positionV relativeFrom="bottomMargin">
                    <wp14:pctPosVOffset>20000</wp14:pctPosVOffset>
                  </wp:positionV>
                </mc:Choice>
                <mc:Fallback>
                  <wp:positionV relativeFrom="page">
                    <wp:posOffset>10085705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0551A1" w14:textId="77777777" w:rsidR="00491BF3" w:rsidRDefault="00491B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01DA9" id="Rectangle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" fillcolor="black [3213]" stroked="f" strokeweight="3pt">
              <v:textbox>
                <w:txbxContent>
                  <w:p w14:paraId="710551A1" w14:textId="77777777" w:rsidR="00491BF3" w:rsidRDefault="00491B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sidRPr="00E37CFE">
      <w:rPr>
        <w:sz w:val="18"/>
        <w:szCs w:val="18"/>
      </w:rPr>
      <w:t>Version d</w:t>
    </w:r>
    <w:r w:rsidR="007F4125">
      <w:rPr>
        <w:sz w:val="18"/>
        <w:szCs w:val="18"/>
      </w:rPr>
      <w:t>e septembre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30BCE" w14:textId="77777777" w:rsidR="002C58C6" w:rsidRDefault="002C58C6" w:rsidP="00AD7237">
      <w:r>
        <w:separator/>
      </w:r>
    </w:p>
  </w:footnote>
  <w:footnote w:type="continuationSeparator" w:id="0">
    <w:p w14:paraId="7FFC6830" w14:textId="77777777" w:rsidR="002C58C6" w:rsidRDefault="002C58C6" w:rsidP="00AD7237">
      <w:r>
        <w:continuationSeparator/>
      </w:r>
    </w:p>
  </w:footnote>
  <w:footnote w:id="1">
    <w:p w14:paraId="3AC6EEEE" w14:textId="5C81C392" w:rsidR="00547919" w:rsidRPr="00C107F2" w:rsidRDefault="00547919" w:rsidP="00547919">
      <w:pPr>
        <w:jc w:val="both"/>
        <w:rPr>
          <w:rFonts w:ascii="Times New Roman" w:hAnsi="Times New Roman" w:cs="Times New Roman"/>
          <w:sz w:val="20"/>
          <w:szCs w:val="20"/>
        </w:rPr>
      </w:pPr>
      <w:r>
        <w:rPr>
          <w:rStyle w:val="Appelnotedebasdep"/>
        </w:rPr>
        <w:footnoteRef/>
      </w:r>
      <w:r>
        <w:t xml:space="preserve"> </w:t>
      </w:r>
      <w:r w:rsidRPr="00C107F2">
        <w:rPr>
          <w:rFonts w:ascii="Times New Roman" w:hAnsi="Times New Roman" w:cs="Times New Roman"/>
          <w:sz w:val="20"/>
          <w:szCs w:val="20"/>
        </w:rPr>
        <w:t xml:space="preserve">Pour information, l'EGB est un échantillon au 1/97ème de la population française et comprend l’ensemble des parcours individuels de soins de ville ou en établissements de santé (uniquement pour le champ MCO) de plus de 600 000 bénéficiaires. Il est représentatif en termes d’âge et de sexe de la population mais pas en termes de pathologie ou répartition régionale. Il ne comporte aucune donnée identifiante. </w:t>
      </w:r>
      <w:r>
        <w:rPr>
          <w:rFonts w:ascii="Times New Roman" w:hAnsi="Times New Roman" w:cs="Times New Roman"/>
          <w:sz w:val="20"/>
          <w:szCs w:val="20"/>
        </w:rPr>
        <w:t xml:space="preserve">Pour plus de renseignements : </w:t>
      </w:r>
      <w:hyperlink r:id="rId1" w:history="1">
        <w:r w:rsidRPr="00FE5C9D">
          <w:rPr>
            <w:rStyle w:val="Lienhypertexte"/>
            <w:rFonts w:ascii="Times New Roman" w:hAnsi="Times New Roman" w:cs="Times New Roman"/>
            <w:sz w:val="20"/>
            <w:szCs w:val="20"/>
          </w:rPr>
          <w:t>https://www.indsante.fr/fr/system/files/Documents_publics/Presentation_SNDS.pdf</w:t>
        </w:r>
      </w:hyperlink>
    </w:p>
    <w:p w14:paraId="2B1F943E" w14:textId="50319020" w:rsidR="00547919" w:rsidRDefault="00547919">
      <w:pPr>
        <w:pStyle w:val="Notedebasdepage"/>
      </w:pPr>
    </w:p>
  </w:footnote>
  <w:footnote w:id="2">
    <w:p w14:paraId="098703BD" w14:textId="03B6F5AB" w:rsidR="008F1AF0" w:rsidRDefault="008F1AF0">
      <w:pPr>
        <w:pStyle w:val="Notedebasdepage"/>
      </w:pPr>
      <w:r>
        <w:rPr>
          <w:rStyle w:val="Appelnotedebasdep"/>
        </w:rPr>
        <w:footnoteRef/>
      </w:r>
      <w:r>
        <w:t xml:space="preserve"> Pour simplifier la lecture, le périmètre de données rassemblant les données agrégées, les tableaux de bord et l’Échantillon Généraliste de Bénéficiaires sera dénommé ci-après « EGB ».</w:t>
      </w:r>
    </w:p>
  </w:footnote>
  <w:footnote w:id="3">
    <w:p w14:paraId="3025FF86" w14:textId="1AC44B9A" w:rsidR="00636E0D" w:rsidRDefault="00636E0D">
      <w:pPr>
        <w:pStyle w:val="Notedebasdepage"/>
      </w:pPr>
      <w:r>
        <w:rPr>
          <w:rStyle w:val="Appelnotedebasdep"/>
        </w:rPr>
        <w:footnoteRef/>
      </w:r>
      <w:r>
        <w:t xml:space="preserve"> </w:t>
      </w:r>
      <w:r w:rsidRPr="00636E0D">
        <w:t>c’est-à-dire les personnes commercialisant des produits de santé mentionnés a</w:t>
      </w:r>
      <w:r>
        <w:t>u II de l’art. L. 5311-1 du code de la santé publique ainsi que les établissements de crédit, l</w:t>
      </w:r>
      <w:r w:rsidRPr="00636E0D">
        <w:t>es entreprises exerçant une activité d'assurance directe, les entreprises exerçant une activité de réassurance, les mutuelles, les unions gérant les systèmes fédéraux de garantie, les institutions et unions de prévoyance, les sociétés de groupe assurantiel de protection sociale, les sociétés de groupe d’assurance et les sociétés de groupe mixte d’assurance</w:t>
      </w:r>
      <w:r>
        <w:t xml:space="preserve"> (voir la liste précise à l’article L. 612-2 du code monétaire et financier) et les intermédiaires d’assurance (voir article L. 511-1 du code des assurances)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4B0D" w14:textId="09FDD056" w:rsidR="00491BF3" w:rsidRDefault="007F4125">
    <w:pPr>
      <w:pStyle w:val="En-tte"/>
    </w:pPr>
    <w:r>
      <w:rPr>
        <w:noProof/>
      </w:rPr>
      <w:drawing>
        <wp:inline distT="0" distB="0" distL="0" distR="0" wp14:anchorId="692E1EC6" wp14:editId="08F1AAAB">
          <wp:extent cx="2208406" cy="622300"/>
          <wp:effectExtent l="0" t="0" r="1905"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54982" cy="635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2A6"/>
    <w:multiLevelType w:val="hybridMultilevel"/>
    <w:tmpl w:val="EB9C51E6"/>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5F26CBA0">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41850"/>
    <w:multiLevelType w:val="hybridMultilevel"/>
    <w:tmpl w:val="D67E59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44AF5"/>
    <w:multiLevelType w:val="hybridMultilevel"/>
    <w:tmpl w:val="E07223B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8752854"/>
    <w:multiLevelType w:val="hybridMultilevel"/>
    <w:tmpl w:val="9C48F1DA"/>
    <w:lvl w:ilvl="0" w:tplc="0284D2DA">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943401"/>
    <w:multiLevelType w:val="hybridMultilevel"/>
    <w:tmpl w:val="60425F3A"/>
    <w:lvl w:ilvl="0" w:tplc="955A22D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B142DF"/>
    <w:multiLevelType w:val="hybridMultilevel"/>
    <w:tmpl w:val="6CFC6A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76321B"/>
    <w:multiLevelType w:val="hybridMultilevel"/>
    <w:tmpl w:val="C9405A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5C274D"/>
    <w:multiLevelType w:val="hybridMultilevel"/>
    <w:tmpl w:val="1DD02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8C0C41"/>
    <w:multiLevelType w:val="hybridMultilevel"/>
    <w:tmpl w:val="1800291E"/>
    <w:lvl w:ilvl="0" w:tplc="7CE82D2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962882"/>
    <w:multiLevelType w:val="hybridMultilevel"/>
    <w:tmpl w:val="72D84F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036635"/>
    <w:multiLevelType w:val="hybridMultilevel"/>
    <w:tmpl w:val="1DD02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FB4CBA"/>
    <w:multiLevelType w:val="hybridMultilevel"/>
    <w:tmpl w:val="9A4E2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083AC5"/>
    <w:multiLevelType w:val="hybridMultilevel"/>
    <w:tmpl w:val="519EAEA2"/>
    <w:lvl w:ilvl="0" w:tplc="C59452A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AE511F6"/>
    <w:multiLevelType w:val="hybridMultilevel"/>
    <w:tmpl w:val="5900DB22"/>
    <w:lvl w:ilvl="0" w:tplc="040C0005">
      <w:start w:val="1"/>
      <w:numFmt w:val="bullet"/>
      <w:lvlText w:val=""/>
      <w:lvlJc w:val="left"/>
      <w:pPr>
        <w:ind w:left="108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5F26CBA0">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EB6D05"/>
    <w:multiLevelType w:val="hybridMultilevel"/>
    <w:tmpl w:val="4C3AC3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A43F50"/>
    <w:multiLevelType w:val="hybridMultilevel"/>
    <w:tmpl w:val="1DD02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B82EED"/>
    <w:multiLevelType w:val="hybridMultilevel"/>
    <w:tmpl w:val="0E5A06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7"/>
  </w:num>
  <w:num w:numId="5">
    <w:abstractNumId w:val="10"/>
  </w:num>
  <w:num w:numId="6">
    <w:abstractNumId w:val="14"/>
  </w:num>
  <w:num w:numId="7">
    <w:abstractNumId w:val="4"/>
  </w:num>
  <w:num w:numId="8">
    <w:abstractNumId w:val="16"/>
  </w:num>
  <w:num w:numId="9">
    <w:abstractNumId w:val="9"/>
  </w:num>
  <w:num w:numId="10">
    <w:abstractNumId w:val="11"/>
  </w:num>
  <w:num w:numId="11">
    <w:abstractNumId w:val="0"/>
  </w:num>
  <w:num w:numId="12">
    <w:abstractNumId w:val="5"/>
  </w:num>
  <w:num w:numId="13">
    <w:abstractNumId w:val="2"/>
  </w:num>
  <w:num w:numId="14">
    <w:abstractNumId w:val="6"/>
  </w:num>
  <w:num w:numId="15">
    <w:abstractNumId w:val="12"/>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E4"/>
    <w:rsid w:val="00002334"/>
    <w:rsid w:val="00002BDA"/>
    <w:rsid w:val="000322AD"/>
    <w:rsid w:val="00041B2D"/>
    <w:rsid w:val="00047D81"/>
    <w:rsid w:val="0005744D"/>
    <w:rsid w:val="00063BE5"/>
    <w:rsid w:val="0007518A"/>
    <w:rsid w:val="00077091"/>
    <w:rsid w:val="000922BD"/>
    <w:rsid w:val="000924C4"/>
    <w:rsid w:val="0009707E"/>
    <w:rsid w:val="000A218D"/>
    <w:rsid w:val="000B43B6"/>
    <w:rsid w:val="000E1D48"/>
    <w:rsid w:val="001126F4"/>
    <w:rsid w:val="00152C99"/>
    <w:rsid w:val="00154F12"/>
    <w:rsid w:val="0017662D"/>
    <w:rsid w:val="00176E48"/>
    <w:rsid w:val="00180B07"/>
    <w:rsid w:val="00195684"/>
    <w:rsid w:val="001C6F3D"/>
    <w:rsid w:val="001D7046"/>
    <w:rsid w:val="002055F3"/>
    <w:rsid w:val="002202F5"/>
    <w:rsid w:val="00234D33"/>
    <w:rsid w:val="00265DC6"/>
    <w:rsid w:val="0027393D"/>
    <w:rsid w:val="0027739E"/>
    <w:rsid w:val="00287702"/>
    <w:rsid w:val="00290430"/>
    <w:rsid w:val="0029307D"/>
    <w:rsid w:val="00296837"/>
    <w:rsid w:val="002B42A7"/>
    <w:rsid w:val="002B51F0"/>
    <w:rsid w:val="002C368C"/>
    <w:rsid w:val="002C45F2"/>
    <w:rsid w:val="002C567E"/>
    <w:rsid w:val="002C58C6"/>
    <w:rsid w:val="002C71DE"/>
    <w:rsid w:val="002D23B8"/>
    <w:rsid w:val="00330655"/>
    <w:rsid w:val="00344B90"/>
    <w:rsid w:val="00396685"/>
    <w:rsid w:val="003A2921"/>
    <w:rsid w:val="003B505C"/>
    <w:rsid w:val="003C32EF"/>
    <w:rsid w:val="003D0279"/>
    <w:rsid w:val="003E5DCA"/>
    <w:rsid w:val="003F1792"/>
    <w:rsid w:val="00431EA3"/>
    <w:rsid w:val="004623A9"/>
    <w:rsid w:val="00486A40"/>
    <w:rsid w:val="00491BF3"/>
    <w:rsid w:val="00492412"/>
    <w:rsid w:val="004B6E4C"/>
    <w:rsid w:val="004E1E01"/>
    <w:rsid w:val="004F3D27"/>
    <w:rsid w:val="00504723"/>
    <w:rsid w:val="00526E9E"/>
    <w:rsid w:val="00536062"/>
    <w:rsid w:val="00536F0D"/>
    <w:rsid w:val="00543F56"/>
    <w:rsid w:val="00547919"/>
    <w:rsid w:val="00550B92"/>
    <w:rsid w:val="0058353C"/>
    <w:rsid w:val="005B435B"/>
    <w:rsid w:val="005C0C02"/>
    <w:rsid w:val="00600A10"/>
    <w:rsid w:val="00621237"/>
    <w:rsid w:val="0062193F"/>
    <w:rsid w:val="00636E0D"/>
    <w:rsid w:val="00647C3A"/>
    <w:rsid w:val="00660ED7"/>
    <w:rsid w:val="00680013"/>
    <w:rsid w:val="00682772"/>
    <w:rsid w:val="00691407"/>
    <w:rsid w:val="00696569"/>
    <w:rsid w:val="006C6225"/>
    <w:rsid w:val="006E5962"/>
    <w:rsid w:val="006E7BC6"/>
    <w:rsid w:val="00710A18"/>
    <w:rsid w:val="00717B96"/>
    <w:rsid w:val="007235D2"/>
    <w:rsid w:val="0075115B"/>
    <w:rsid w:val="007540DE"/>
    <w:rsid w:val="00756748"/>
    <w:rsid w:val="007915AA"/>
    <w:rsid w:val="00793F08"/>
    <w:rsid w:val="007B1CDA"/>
    <w:rsid w:val="007D2BB7"/>
    <w:rsid w:val="007F107D"/>
    <w:rsid w:val="007F4125"/>
    <w:rsid w:val="008A25D3"/>
    <w:rsid w:val="008B4B21"/>
    <w:rsid w:val="008B7211"/>
    <w:rsid w:val="008D496F"/>
    <w:rsid w:val="008F1AF0"/>
    <w:rsid w:val="00901A23"/>
    <w:rsid w:val="00940810"/>
    <w:rsid w:val="00974AE4"/>
    <w:rsid w:val="00983B3D"/>
    <w:rsid w:val="009A1B0E"/>
    <w:rsid w:val="009D7A45"/>
    <w:rsid w:val="009D7B01"/>
    <w:rsid w:val="00A4544A"/>
    <w:rsid w:val="00A536FD"/>
    <w:rsid w:val="00AA1EF3"/>
    <w:rsid w:val="00AB5D8F"/>
    <w:rsid w:val="00AB6D48"/>
    <w:rsid w:val="00AC165C"/>
    <w:rsid w:val="00AD7237"/>
    <w:rsid w:val="00AE05B6"/>
    <w:rsid w:val="00AE16DA"/>
    <w:rsid w:val="00AF7ABD"/>
    <w:rsid w:val="00B11CE1"/>
    <w:rsid w:val="00B2375F"/>
    <w:rsid w:val="00B44999"/>
    <w:rsid w:val="00B53BA8"/>
    <w:rsid w:val="00B674C4"/>
    <w:rsid w:val="00BD3AEC"/>
    <w:rsid w:val="00BE23F1"/>
    <w:rsid w:val="00BF3C6B"/>
    <w:rsid w:val="00BF4EB7"/>
    <w:rsid w:val="00C02CB1"/>
    <w:rsid w:val="00C107F2"/>
    <w:rsid w:val="00C12D98"/>
    <w:rsid w:val="00C15FB7"/>
    <w:rsid w:val="00C22B09"/>
    <w:rsid w:val="00C41DB9"/>
    <w:rsid w:val="00C438B3"/>
    <w:rsid w:val="00C464B3"/>
    <w:rsid w:val="00C601B6"/>
    <w:rsid w:val="00C66D40"/>
    <w:rsid w:val="00C77829"/>
    <w:rsid w:val="00C87E48"/>
    <w:rsid w:val="00C91494"/>
    <w:rsid w:val="00CB23EB"/>
    <w:rsid w:val="00CD03B5"/>
    <w:rsid w:val="00CE7B85"/>
    <w:rsid w:val="00D154CC"/>
    <w:rsid w:val="00D22C30"/>
    <w:rsid w:val="00D34F5F"/>
    <w:rsid w:val="00D5277C"/>
    <w:rsid w:val="00D63E60"/>
    <w:rsid w:val="00D67C2F"/>
    <w:rsid w:val="00D67C52"/>
    <w:rsid w:val="00D7132A"/>
    <w:rsid w:val="00DB44F5"/>
    <w:rsid w:val="00DB555E"/>
    <w:rsid w:val="00DD2562"/>
    <w:rsid w:val="00DE31EF"/>
    <w:rsid w:val="00DE7FAA"/>
    <w:rsid w:val="00DF6FDE"/>
    <w:rsid w:val="00E17E71"/>
    <w:rsid w:val="00E25C4C"/>
    <w:rsid w:val="00E32B67"/>
    <w:rsid w:val="00E35E5E"/>
    <w:rsid w:val="00E37CFE"/>
    <w:rsid w:val="00E446A7"/>
    <w:rsid w:val="00E45F89"/>
    <w:rsid w:val="00E707A3"/>
    <w:rsid w:val="00EA31FA"/>
    <w:rsid w:val="00EB0C48"/>
    <w:rsid w:val="00EB6164"/>
    <w:rsid w:val="00EC1CA5"/>
    <w:rsid w:val="00ED06DB"/>
    <w:rsid w:val="00EE2CF1"/>
    <w:rsid w:val="00EF60D3"/>
    <w:rsid w:val="00F03BD0"/>
    <w:rsid w:val="00F56D61"/>
    <w:rsid w:val="00F61A61"/>
    <w:rsid w:val="00FD6A56"/>
    <w:rsid w:val="00FF182F"/>
    <w:rsid w:val="00FF7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2F98"/>
  <w14:defaultImageDpi w14:val="32767"/>
  <w15:chartTrackingRefBased/>
  <w15:docId w15:val="{BAF7EFB7-8C41-CA41-AA0D-7A3A385F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91B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7D81"/>
    <w:pPr>
      <w:ind w:left="720"/>
      <w:contextualSpacing/>
    </w:pPr>
  </w:style>
  <w:style w:type="table" w:styleId="Grilledutableau">
    <w:name w:val="Table Grid"/>
    <w:basedOn w:val="TableauNormal"/>
    <w:uiPriority w:val="39"/>
    <w:rsid w:val="00D6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92412"/>
    <w:rPr>
      <w:sz w:val="16"/>
      <w:szCs w:val="16"/>
    </w:rPr>
  </w:style>
  <w:style w:type="paragraph" w:styleId="Commentaire">
    <w:name w:val="annotation text"/>
    <w:basedOn w:val="Normal"/>
    <w:link w:val="CommentaireCar"/>
    <w:uiPriority w:val="99"/>
    <w:semiHidden/>
    <w:unhideWhenUsed/>
    <w:rsid w:val="00492412"/>
    <w:rPr>
      <w:sz w:val="20"/>
      <w:szCs w:val="20"/>
    </w:rPr>
  </w:style>
  <w:style w:type="character" w:customStyle="1" w:styleId="CommentaireCar">
    <w:name w:val="Commentaire Car"/>
    <w:basedOn w:val="Policepardfaut"/>
    <w:link w:val="Commentaire"/>
    <w:uiPriority w:val="99"/>
    <w:semiHidden/>
    <w:rsid w:val="00492412"/>
    <w:rPr>
      <w:sz w:val="20"/>
      <w:szCs w:val="20"/>
    </w:rPr>
  </w:style>
  <w:style w:type="paragraph" w:styleId="Objetducommentaire">
    <w:name w:val="annotation subject"/>
    <w:basedOn w:val="Commentaire"/>
    <w:next w:val="Commentaire"/>
    <w:link w:val="ObjetducommentaireCar"/>
    <w:uiPriority w:val="99"/>
    <w:semiHidden/>
    <w:unhideWhenUsed/>
    <w:rsid w:val="00492412"/>
    <w:rPr>
      <w:b/>
      <w:bCs/>
    </w:rPr>
  </w:style>
  <w:style w:type="character" w:customStyle="1" w:styleId="ObjetducommentaireCar">
    <w:name w:val="Objet du commentaire Car"/>
    <w:basedOn w:val="CommentaireCar"/>
    <w:link w:val="Objetducommentaire"/>
    <w:uiPriority w:val="99"/>
    <w:semiHidden/>
    <w:rsid w:val="00492412"/>
    <w:rPr>
      <w:b/>
      <w:bCs/>
      <w:sz w:val="20"/>
      <w:szCs w:val="20"/>
    </w:rPr>
  </w:style>
  <w:style w:type="paragraph" w:styleId="Textedebulles">
    <w:name w:val="Balloon Text"/>
    <w:basedOn w:val="Normal"/>
    <w:link w:val="TextedebullesCar"/>
    <w:uiPriority w:val="99"/>
    <w:semiHidden/>
    <w:unhideWhenUsed/>
    <w:rsid w:val="0049241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92412"/>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AD7237"/>
    <w:rPr>
      <w:sz w:val="20"/>
      <w:szCs w:val="20"/>
    </w:rPr>
  </w:style>
  <w:style w:type="character" w:customStyle="1" w:styleId="NotedebasdepageCar">
    <w:name w:val="Note de bas de page Car"/>
    <w:basedOn w:val="Policepardfaut"/>
    <w:link w:val="Notedebasdepage"/>
    <w:uiPriority w:val="99"/>
    <w:semiHidden/>
    <w:rsid w:val="00AD7237"/>
    <w:rPr>
      <w:sz w:val="20"/>
      <w:szCs w:val="20"/>
    </w:rPr>
  </w:style>
  <w:style w:type="character" w:styleId="Appelnotedebasdep">
    <w:name w:val="footnote reference"/>
    <w:basedOn w:val="Policepardfaut"/>
    <w:uiPriority w:val="99"/>
    <w:semiHidden/>
    <w:unhideWhenUsed/>
    <w:rsid w:val="00AD7237"/>
    <w:rPr>
      <w:vertAlign w:val="superscript"/>
    </w:rPr>
  </w:style>
  <w:style w:type="character" w:styleId="Lienhypertexte">
    <w:name w:val="Hyperlink"/>
    <w:basedOn w:val="Policepardfaut"/>
    <w:uiPriority w:val="99"/>
    <w:unhideWhenUsed/>
    <w:rsid w:val="00547919"/>
    <w:rPr>
      <w:color w:val="0563C1" w:themeColor="hyperlink"/>
      <w:u w:val="single"/>
    </w:rPr>
  </w:style>
  <w:style w:type="character" w:styleId="Mentionnonrsolue">
    <w:name w:val="Unresolved Mention"/>
    <w:basedOn w:val="Policepardfaut"/>
    <w:uiPriority w:val="99"/>
    <w:rsid w:val="00547919"/>
    <w:rPr>
      <w:color w:val="605E5C"/>
      <w:shd w:val="clear" w:color="auto" w:fill="E1DFDD"/>
    </w:rPr>
  </w:style>
  <w:style w:type="character" w:styleId="Textedelespacerserv">
    <w:name w:val="Placeholder Text"/>
    <w:basedOn w:val="Policepardfaut"/>
    <w:uiPriority w:val="99"/>
    <w:semiHidden/>
    <w:rsid w:val="00FF182F"/>
    <w:rPr>
      <w:color w:val="808080"/>
    </w:rPr>
  </w:style>
  <w:style w:type="character" w:styleId="Lienhypertextesuivivisit">
    <w:name w:val="FollowedHyperlink"/>
    <w:basedOn w:val="Policepardfaut"/>
    <w:uiPriority w:val="99"/>
    <w:semiHidden/>
    <w:unhideWhenUsed/>
    <w:rsid w:val="00983B3D"/>
    <w:rPr>
      <w:color w:val="954F72" w:themeColor="followedHyperlink"/>
      <w:u w:val="single"/>
    </w:rPr>
  </w:style>
  <w:style w:type="paragraph" w:styleId="En-tte">
    <w:name w:val="header"/>
    <w:basedOn w:val="Normal"/>
    <w:link w:val="En-tteCar"/>
    <w:uiPriority w:val="99"/>
    <w:unhideWhenUsed/>
    <w:rsid w:val="00491BF3"/>
    <w:pPr>
      <w:tabs>
        <w:tab w:val="center" w:pos="4536"/>
        <w:tab w:val="right" w:pos="9072"/>
      </w:tabs>
    </w:pPr>
  </w:style>
  <w:style w:type="character" w:customStyle="1" w:styleId="En-tteCar">
    <w:name w:val="En-tête Car"/>
    <w:basedOn w:val="Policepardfaut"/>
    <w:link w:val="En-tte"/>
    <w:uiPriority w:val="99"/>
    <w:rsid w:val="00491BF3"/>
  </w:style>
  <w:style w:type="paragraph" w:styleId="Pieddepage">
    <w:name w:val="footer"/>
    <w:basedOn w:val="Normal"/>
    <w:link w:val="PieddepageCar"/>
    <w:uiPriority w:val="99"/>
    <w:unhideWhenUsed/>
    <w:rsid w:val="00491BF3"/>
    <w:pPr>
      <w:tabs>
        <w:tab w:val="center" w:pos="4536"/>
        <w:tab w:val="right" w:pos="9072"/>
      </w:tabs>
    </w:pPr>
  </w:style>
  <w:style w:type="character" w:customStyle="1" w:styleId="PieddepageCar">
    <w:name w:val="Pied de page Car"/>
    <w:basedOn w:val="Policepardfaut"/>
    <w:link w:val="Pieddepage"/>
    <w:uiPriority w:val="99"/>
    <w:rsid w:val="00491BF3"/>
  </w:style>
  <w:style w:type="character" w:customStyle="1" w:styleId="Titre1Car">
    <w:name w:val="Titre 1 Car"/>
    <w:basedOn w:val="Policepardfaut"/>
    <w:link w:val="Titre1"/>
    <w:uiPriority w:val="9"/>
    <w:rsid w:val="00491BF3"/>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491BF3"/>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491BF3"/>
    <w:pPr>
      <w:spacing w:before="120"/>
    </w:pPr>
    <w:rPr>
      <w:b/>
      <w:bCs/>
      <w:i/>
      <w:iCs/>
    </w:rPr>
  </w:style>
  <w:style w:type="paragraph" w:styleId="TM2">
    <w:name w:val="toc 2"/>
    <w:basedOn w:val="Normal"/>
    <w:next w:val="Normal"/>
    <w:autoRedefine/>
    <w:uiPriority w:val="39"/>
    <w:semiHidden/>
    <w:unhideWhenUsed/>
    <w:rsid w:val="00491BF3"/>
    <w:pPr>
      <w:spacing w:before="120"/>
      <w:ind w:left="240"/>
    </w:pPr>
    <w:rPr>
      <w:b/>
      <w:bCs/>
      <w:sz w:val="22"/>
      <w:szCs w:val="22"/>
    </w:rPr>
  </w:style>
  <w:style w:type="paragraph" w:styleId="TM3">
    <w:name w:val="toc 3"/>
    <w:basedOn w:val="Normal"/>
    <w:next w:val="Normal"/>
    <w:autoRedefine/>
    <w:uiPriority w:val="39"/>
    <w:semiHidden/>
    <w:unhideWhenUsed/>
    <w:rsid w:val="00491BF3"/>
    <w:pPr>
      <w:ind w:left="480"/>
    </w:pPr>
    <w:rPr>
      <w:sz w:val="20"/>
      <w:szCs w:val="20"/>
    </w:rPr>
  </w:style>
  <w:style w:type="paragraph" w:styleId="TM4">
    <w:name w:val="toc 4"/>
    <w:basedOn w:val="Normal"/>
    <w:next w:val="Normal"/>
    <w:autoRedefine/>
    <w:uiPriority w:val="39"/>
    <w:semiHidden/>
    <w:unhideWhenUsed/>
    <w:rsid w:val="00491BF3"/>
    <w:pPr>
      <w:ind w:left="720"/>
    </w:pPr>
    <w:rPr>
      <w:sz w:val="20"/>
      <w:szCs w:val="20"/>
    </w:rPr>
  </w:style>
  <w:style w:type="paragraph" w:styleId="TM5">
    <w:name w:val="toc 5"/>
    <w:basedOn w:val="Normal"/>
    <w:next w:val="Normal"/>
    <w:autoRedefine/>
    <w:uiPriority w:val="39"/>
    <w:semiHidden/>
    <w:unhideWhenUsed/>
    <w:rsid w:val="00491BF3"/>
    <w:pPr>
      <w:ind w:left="960"/>
    </w:pPr>
    <w:rPr>
      <w:sz w:val="20"/>
      <w:szCs w:val="20"/>
    </w:rPr>
  </w:style>
  <w:style w:type="paragraph" w:styleId="TM6">
    <w:name w:val="toc 6"/>
    <w:basedOn w:val="Normal"/>
    <w:next w:val="Normal"/>
    <w:autoRedefine/>
    <w:uiPriority w:val="39"/>
    <w:semiHidden/>
    <w:unhideWhenUsed/>
    <w:rsid w:val="00491BF3"/>
    <w:pPr>
      <w:ind w:left="1200"/>
    </w:pPr>
    <w:rPr>
      <w:sz w:val="20"/>
      <w:szCs w:val="20"/>
    </w:rPr>
  </w:style>
  <w:style w:type="paragraph" w:styleId="TM7">
    <w:name w:val="toc 7"/>
    <w:basedOn w:val="Normal"/>
    <w:next w:val="Normal"/>
    <w:autoRedefine/>
    <w:uiPriority w:val="39"/>
    <w:semiHidden/>
    <w:unhideWhenUsed/>
    <w:rsid w:val="00491BF3"/>
    <w:pPr>
      <w:ind w:left="1440"/>
    </w:pPr>
    <w:rPr>
      <w:sz w:val="20"/>
      <w:szCs w:val="20"/>
    </w:rPr>
  </w:style>
  <w:style w:type="paragraph" w:styleId="TM8">
    <w:name w:val="toc 8"/>
    <w:basedOn w:val="Normal"/>
    <w:next w:val="Normal"/>
    <w:autoRedefine/>
    <w:uiPriority w:val="39"/>
    <w:semiHidden/>
    <w:unhideWhenUsed/>
    <w:rsid w:val="00491BF3"/>
    <w:pPr>
      <w:ind w:left="1680"/>
    </w:pPr>
    <w:rPr>
      <w:sz w:val="20"/>
      <w:szCs w:val="20"/>
    </w:rPr>
  </w:style>
  <w:style w:type="paragraph" w:styleId="TM9">
    <w:name w:val="toc 9"/>
    <w:basedOn w:val="Normal"/>
    <w:next w:val="Normal"/>
    <w:autoRedefine/>
    <w:uiPriority w:val="39"/>
    <w:semiHidden/>
    <w:unhideWhenUsed/>
    <w:rsid w:val="00491BF3"/>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7571">
      <w:bodyDiv w:val="1"/>
      <w:marLeft w:val="0"/>
      <w:marRight w:val="0"/>
      <w:marTop w:val="0"/>
      <w:marBottom w:val="0"/>
      <w:divBdr>
        <w:top w:val="none" w:sz="0" w:space="0" w:color="auto"/>
        <w:left w:val="none" w:sz="0" w:space="0" w:color="auto"/>
        <w:bottom w:val="none" w:sz="0" w:space="0" w:color="auto"/>
        <w:right w:val="none" w:sz="0" w:space="0" w:color="auto"/>
      </w:divBdr>
    </w:div>
    <w:div w:id="692073168">
      <w:bodyDiv w:val="1"/>
      <w:marLeft w:val="0"/>
      <w:marRight w:val="0"/>
      <w:marTop w:val="0"/>
      <w:marBottom w:val="0"/>
      <w:divBdr>
        <w:top w:val="none" w:sz="0" w:space="0" w:color="auto"/>
        <w:left w:val="none" w:sz="0" w:space="0" w:color="auto"/>
        <w:bottom w:val="none" w:sz="0" w:space="0" w:color="auto"/>
        <w:right w:val="none" w:sz="0" w:space="0" w:color="auto"/>
      </w:divBdr>
    </w:div>
    <w:div w:id="8233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dsante.fr/fr/system/files/Documents_publics/Presentation_SN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3AAC-D574-C146-B9E9-A34B2C07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1972</Words>
  <Characters>10849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Christel Rivert</cp:lastModifiedBy>
  <cp:revision>10</cp:revision>
  <dcterms:created xsi:type="dcterms:W3CDTF">2020-08-24T10:43:00Z</dcterms:created>
  <dcterms:modified xsi:type="dcterms:W3CDTF">2020-08-28T12:05:00Z</dcterms:modified>
</cp:coreProperties>
</file>